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ED297" w14:textId="77777777" w:rsidR="00AA61D5" w:rsidRDefault="00422136">
      <w:pPr>
        <w:jc w:val="center"/>
        <w:rPr>
          <w:rFonts w:ascii="Calibri" w:eastAsia="Calibri" w:hAnsi="Calibri" w:cs="Calibri"/>
          <w:b/>
          <w:sz w:val="26"/>
          <w:szCs w:val="26"/>
        </w:rPr>
      </w:pPr>
      <w:r>
        <w:rPr>
          <w:rFonts w:ascii="Calibri" w:eastAsia="Calibri" w:hAnsi="Calibri" w:cs="Calibri"/>
          <w:b/>
          <w:sz w:val="26"/>
          <w:szCs w:val="26"/>
        </w:rPr>
        <w:t>The Impact of Outliers: The Raisin River Canoe Race</w:t>
      </w:r>
    </w:p>
    <w:p w14:paraId="0AA09D74" w14:textId="3C86B78C" w:rsidR="008E033D" w:rsidRDefault="008E033D">
      <w:pPr>
        <w:jc w:val="center"/>
        <w:rPr>
          <w:rFonts w:ascii="Calibri" w:eastAsia="Calibri" w:hAnsi="Calibri" w:cs="Calibri"/>
          <w:b/>
          <w:sz w:val="26"/>
          <w:szCs w:val="26"/>
        </w:rPr>
      </w:pPr>
      <w:r>
        <w:rPr>
          <w:rFonts w:ascii="Calibri" w:eastAsia="Calibri" w:hAnsi="Calibri" w:cs="Calibri"/>
          <w:b/>
          <w:sz w:val="26"/>
          <w:szCs w:val="26"/>
        </w:rPr>
        <w:t>SOLUTIONS</w:t>
      </w:r>
    </w:p>
    <w:p w14:paraId="715632E3" w14:textId="77777777" w:rsidR="00F6621D" w:rsidRDefault="00F6621D">
      <w:pPr>
        <w:jc w:val="center"/>
        <w:rPr>
          <w:rFonts w:ascii="Calibri" w:eastAsia="Calibri" w:hAnsi="Calibri" w:cs="Calibri"/>
          <w:sz w:val="26"/>
          <w:szCs w:val="26"/>
        </w:rPr>
      </w:pPr>
    </w:p>
    <w:p w14:paraId="0495A348" w14:textId="77777777" w:rsidR="008E033D" w:rsidRPr="008E033D" w:rsidRDefault="008E033D" w:rsidP="008E033D">
      <w:pPr>
        <w:rPr>
          <w:rFonts w:ascii="Calibri" w:eastAsia="Calibri" w:hAnsi="Calibri" w:cs="Calibri"/>
          <w:b/>
          <w:bCs/>
          <w:sz w:val="24"/>
          <w:szCs w:val="24"/>
          <w:lang w:val="en-US"/>
        </w:rPr>
      </w:pPr>
      <w:r w:rsidRPr="008E033D">
        <w:rPr>
          <w:rFonts w:ascii="Calibri" w:eastAsia="Calibri" w:hAnsi="Calibri" w:cs="Calibri"/>
          <w:b/>
          <w:bCs/>
          <w:sz w:val="24"/>
          <w:szCs w:val="24"/>
          <w:lang w:val="en-US"/>
        </w:rPr>
        <w:t>1. Create a scatterplot with regression line that shows flow rate as a predictor for proportion of DNF.</w:t>
      </w:r>
    </w:p>
    <w:p w14:paraId="43B4EB59" w14:textId="77777777" w:rsidR="008E033D" w:rsidRDefault="008E033D" w:rsidP="008E033D">
      <w:pPr>
        <w:rPr>
          <w:rFonts w:ascii="Calibri" w:eastAsia="Calibri" w:hAnsi="Calibri" w:cs="Calibri"/>
          <w:sz w:val="24"/>
          <w:szCs w:val="24"/>
          <w:lang w:val="en-US"/>
        </w:rPr>
      </w:pPr>
    </w:p>
    <w:p w14:paraId="327CE6E5" w14:textId="603E78CD" w:rsidR="008E033D" w:rsidRDefault="008E033D" w:rsidP="008E033D">
      <w:pPr>
        <w:rPr>
          <w:rFonts w:ascii="Calibri" w:eastAsia="Calibri" w:hAnsi="Calibri" w:cs="Calibri"/>
          <w:sz w:val="24"/>
          <w:szCs w:val="24"/>
        </w:rPr>
      </w:pPr>
      <w:r>
        <w:rPr>
          <w:rFonts w:ascii="Calibri" w:eastAsia="Calibri" w:hAnsi="Calibri" w:cs="Calibri"/>
          <w:sz w:val="24"/>
          <w:szCs w:val="24"/>
        </w:rPr>
        <w:t xml:space="preserve">After reading the </w:t>
      </w:r>
      <w:r w:rsidRPr="008E033D">
        <w:rPr>
          <w:rFonts w:ascii="Calibri" w:eastAsia="Calibri" w:hAnsi="Calibri" w:cs="Calibri"/>
          <w:b/>
          <w:bCs/>
          <w:sz w:val="24"/>
          <w:szCs w:val="24"/>
        </w:rPr>
        <w:t>raisin_river.DNF.csv</w:t>
      </w:r>
      <w:r>
        <w:rPr>
          <w:rFonts w:ascii="Calibri" w:eastAsia="Calibri" w:hAnsi="Calibri" w:cs="Calibri"/>
          <w:sz w:val="24"/>
          <w:szCs w:val="24"/>
        </w:rPr>
        <w:t xml:space="preserve"> dataset into software, we produce a scatterplot with the regression line to predict proportion of DNF using flow rate to obtain the plot below.</w:t>
      </w:r>
    </w:p>
    <w:p w14:paraId="0333CF39" w14:textId="326342BB" w:rsidR="008E033D" w:rsidRDefault="005A6AEC" w:rsidP="005A6AEC">
      <w:pPr>
        <w:jc w:val="center"/>
        <w:rPr>
          <w:rFonts w:ascii="Calibri" w:eastAsia="Calibri" w:hAnsi="Calibri" w:cs="Calibri"/>
          <w:sz w:val="24"/>
          <w:szCs w:val="24"/>
        </w:rPr>
      </w:pPr>
      <w:r w:rsidRPr="005A6AEC">
        <w:rPr>
          <w:rFonts w:ascii="Calibri" w:eastAsia="Calibri" w:hAnsi="Calibri" w:cs="Calibri"/>
          <w:sz w:val="24"/>
          <w:szCs w:val="24"/>
        </w:rPr>
        <w:drawing>
          <wp:inline distT="0" distB="0" distL="0" distR="0" wp14:anchorId="2503D7AD" wp14:editId="1F75D63A">
            <wp:extent cx="3277057" cy="2486372"/>
            <wp:effectExtent l="0" t="0" r="0" b="9525"/>
            <wp:docPr id="94830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00282" name=""/>
                    <pic:cNvPicPr/>
                  </pic:nvPicPr>
                  <pic:blipFill>
                    <a:blip r:embed="rId5"/>
                    <a:stretch>
                      <a:fillRect/>
                    </a:stretch>
                  </pic:blipFill>
                  <pic:spPr>
                    <a:xfrm>
                      <a:off x="0" y="0"/>
                      <a:ext cx="3277057" cy="2486372"/>
                    </a:xfrm>
                    <a:prstGeom prst="rect">
                      <a:avLst/>
                    </a:prstGeom>
                  </pic:spPr>
                </pic:pic>
              </a:graphicData>
            </a:graphic>
          </wp:inline>
        </w:drawing>
      </w:r>
    </w:p>
    <w:p w14:paraId="6C1E5FDB" w14:textId="77777777" w:rsidR="008E033D" w:rsidRDefault="008E033D" w:rsidP="008E033D">
      <w:pPr>
        <w:rPr>
          <w:rFonts w:ascii="Calibri" w:eastAsia="Calibri" w:hAnsi="Calibri" w:cs="Calibri"/>
          <w:sz w:val="24"/>
          <w:szCs w:val="24"/>
        </w:rPr>
      </w:pPr>
    </w:p>
    <w:p w14:paraId="524FCA14" w14:textId="77777777" w:rsidR="008E033D" w:rsidRDefault="008E033D" w:rsidP="008E033D">
      <w:pPr>
        <w:rPr>
          <w:rFonts w:ascii="Calibri" w:eastAsia="Calibri" w:hAnsi="Calibri" w:cs="Calibri"/>
          <w:b/>
          <w:bCs/>
          <w:sz w:val="24"/>
          <w:szCs w:val="24"/>
          <w:lang w:val="en-US"/>
        </w:rPr>
      </w:pPr>
      <w:r w:rsidRPr="008E033D">
        <w:rPr>
          <w:rFonts w:ascii="Calibri" w:eastAsia="Calibri" w:hAnsi="Calibri" w:cs="Calibri"/>
          <w:b/>
          <w:bCs/>
          <w:sz w:val="24"/>
          <w:szCs w:val="24"/>
          <w:lang w:val="en-US"/>
        </w:rPr>
        <w:t>2. Assess the fitted model.</w:t>
      </w:r>
    </w:p>
    <w:p w14:paraId="57403503" w14:textId="77777777" w:rsidR="005A6AEC" w:rsidRPr="008E033D" w:rsidRDefault="005A6AEC" w:rsidP="008E033D">
      <w:pPr>
        <w:rPr>
          <w:rFonts w:ascii="Calibri" w:eastAsia="Calibri" w:hAnsi="Calibri" w:cs="Calibri"/>
          <w:b/>
          <w:bCs/>
          <w:sz w:val="24"/>
          <w:szCs w:val="24"/>
          <w:lang w:val="en-US"/>
        </w:rPr>
      </w:pPr>
    </w:p>
    <w:p w14:paraId="5A083DBA" w14:textId="77777777" w:rsidR="008E033D" w:rsidRPr="008E033D" w:rsidRDefault="008E033D" w:rsidP="008E033D">
      <w:pPr>
        <w:rPr>
          <w:rFonts w:ascii="Calibri" w:eastAsia="Calibri" w:hAnsi="Calibri" w:cs="Calibri"/>
          <w:b/>
          <w:bCs/>
          <w:sz w:val="24"/>
          <w:szCs w:val="24"/>
          <w:lang w:val="en-US"/>
        </w:rPr>
      </w:pPr>
      <w:r w:rsidRPr="008E033D">
        <w:rPr>
          <w:rFonts w:ascii="Calibri" w:eastAsia="Calibri" w:hAnsi="Calibri" w:cs="Calibri"/>
          <w:b/>
          <w:bCs/>
          <w:sz w:val="24"/>
          <w:szCs w:val="24"/>
          <w:lang w:val="en-US"/>
        </w:rPr>
        <w:t>a) Interpret the value of the slope coefficient of flow in context.</w:t>
      </w:r>
    </w:p>
    <w:p w14:paraId="2BE65216" w14:textId="4416EEBB" w:rsidR="008E033D" w:rsidRDefault="00730234" w:rsidP="008E033D">
      <w:pPr>
        <w:rPr>
          <w:rFonts w:ascii="Calibri" w:eastAsia="Calibri" w:hAnsi="Calibri" w:cs="Calibri"/>
          <w:sz w:val="24"/>
          <w:szCs w:val="24"/>
          <w:lang w:val="en-US"/>
        </w:rPr>
      </w:pPr>
      <w:r>
        <w:rPr>
          <w:rFonts w:ascii="Calibri" w:eastAsia="Calibri" w:hAnsi="Calibri" w:cs="Calibri"/>
          <w:sz w:val="24"/>
          <w:szCs w:val="24"/>
          <w:lang w:val="en-US"/>
        </w:rPr>
        <w:t xml:space="preserve">Here </w:t>
      </w:r>
      <w:proofErr w:type="gramStart"/>
      <w:r>
        <w:rPr>
          <w:rFonts w:ascii="Calibri" w:eastAsia="Calibri" w:hAnsi="Calibri" w:cs="Calibri"/>
          <w:sz w:val="24"/>
          <w:szCs w:val="24"/>
          <w:lang w:val="en-US"/>
        </w:rPr>
        <w:t>is some output</w:t>
      </w:r>
      <w:proofErr w:type="gramEnd"/>
      <w:r>
        <w:rPr>
          <w:rFonts w:ascii="Calibri" w:eastAsia="Calibri" w:hAnsi="Calibri" w:cs="Calibri"/>
          <w:sz w:val="24"/>
          <w:szCs w:val="24"/>
          <w:lang w:val="en-US"/>
        </w:rPr>
        <w:t xml:space="preserve"> for fitting this regression model:</w:t>
      </w:r>
    </w:p>
    <w:p w14:paraId="5E0D36CC" w14:textId="77777777" w:rsidR="00730234" w:rsidRDefault="00730234" w:rsidP="00730234">
      <w:pPr>
        <w:autoSpaceDE w:val="0"/>
        <w:autoSpaceDN w:val="0"/>
        <w:adjustRightInd w:val="0"/>
        <w:spacing w:line="240" w:lineRule="auto"/>
        <w:rPr>
          <w:rFonts w:ascii="Segoe UI" w:hAnsi="Segoe UI" w:cs="Segoe UI"/>
          <w:color w:val="000000"/>
          <w:sz w:val="18"/>
          <w:szCs w:val="18"/>
          <w:lang w:val="en-US"/>
        </w:rPr>
      </w:pPr>
    </w:p>
    <w:tbl>
      <w:tblPr>
        <w:tblW w:w="0" w:type="auto"/>
        <w:jc w:val="center"/>
        <w:tblLayout w:type="fixed"/>
        <w:tblCellMar>
          <w:left w:w="40" w:type="dxa"/>
          <w:right w:w="40" w:type="dxa"/>
        </w:tblCellMar>
        <w:tblLook w:val="0000" w:firstRow="0" w:lastRow="0" w:firstColumn="0" w:lastColumn="0" w:noHBand="0" w:noVBand="0"/>
      </w:tblPr>
      <w:tblGrid>
        <w:gridCol w:w="1260"/>
        <w:gridCol w:w="1260"/>
        <w:gridCol w:w="1350"/>
        <w:gridCol w:w="990"/>
        <w:gridCol w:w="1440"/>
      </w:tblGrid>
      <w:tr w:rsidR="00730234" w14:paraId="77E9AA5C" w14:textId="77777777" w:rsidTr="0095295B">
        <w:tblPrEx>
          <w:tblCellMar>
            <w:top w:w="0" w:type="dxa"/>
            <w:bottom w:w="0" w:type="dxa"/>
          </w:tblCellMar>
        </w:tblPrEx>
        <w:trPr>
          <w:trHeight w:val="319"/>
          <w:tblHeader/>
          <w:jc w:val="center"/>
        </w:trPr>
        <w:tc>
          <w:tcPr>
            <w:tcW w:w="1260" w:type="dxa"/>
            <w:tcBorders>
              <w:top w:val="nil"/>
              <w:left w:val="nil"/>
              <w:bottom w:val="nil"/>
              <w:right w:val="nil"/>
            </w:tcBorders>
            <w:shd w:val="clear" w:color="auto" w:fill="D9D9D9"/>
          </w:tcPr>
          <w:p w14:paraId="3BFC10D8" w14:textId="77777777" w:rsidR="00730234" w:rsidRPr="0095295B" w:rsidRDefault="00730234">
            <w:pPr>
              <w:autoSpaceDE w:val="0"/>
              <w:autoSpaceDN w:val="0"/>
              <w:adjustRightInd w:val="0"/>
              <w:spacing w:line="240" w:lineRule="auto"/>
              <w:rPr>
                <w:rFonts w:ascii="Segoe UI" w:hAnsi="Segoe UI" w:cs="Segoe UI"/>
                <w:b/>
                <w:bCs/>
                <w:color w:val="000000"/>
                <w:sz w:val="24"/>
                <w:szCs w:val="24"/>
                <w:lang w:val="en-US"/>
              </w:rPr>
            </w:pPr>
            <w:r w:rsidRPr="0095295B">
              <w:rPr>
                <w:rFonts w:ascii="Segoe UI" w:hAnsi="Segoe UI" w:cs="Segoe UI"/>
                <w:b/>
                <w:bCs/>
                <w:color w:val="000000"/>
                <w:sz w:val="24"/>
                <w:szCs w:val="24"/>
                <w:lang w:val="en-US"/>
              </w:rPr>
              <w:t>Term</w:t>
            </w:r>
          </w:p>
        </w:tc>
        <w:tc>
          <w:tcPr>
            <w:tcW w:w="1260" w:type="dxa"/>
            <w:tcBorders>
              <w:top w:val="nil"/>
              <w:left w:val="nil"/>
              <w:bottom w:val="nil"/>
              <w:right w:val="nil"/>
            </w:tcBorders>
            <w:shd w:val="clear" w:color="auto" w:fill="D9D9D9"/>
          </w:tcPr>
          <w:p w14:paraId="501EF50D" w14:textId="77777777" w:rsidR="00730234" w:rsidRPr="0095295B" w:rsidRDefault="00730234">
            <w:pPr>
              <w:autoSpaceDE w:val="0"/>
              <w:autoSpaceDN w:val="0"/>
              <w:adjustRightInd w:val="0"/>
              <w:spacing w:line="240" w:lineRule="auto"/>
              <w:jc w:val="right"/>
              <w:rPr>
                <w:rFonts w:ascii="Segoe UI" w:hAnsi="Segoe UI" w:cs="Segoe UI"/>
                <w:b/>
                <w:bCs/>
                <w:color w:val="000000"/>
                <w:sz w:val="24"/>
                <w:szCs w:val="24"/>
                <w:lang w:val="en-US"/>
              </w:rPr>
            </w:pPr>
            <w:r w:rsidRPr="0095295B">
              <w:rPr>
                <w:rFonts w:ascii="Segoe UI" w:hAnsi="Segoe UI" w:cs="Segoe UI"/>
                <w:b/>
                <w:bCs/>
                <w:color w:val="000000"/>
                <w:sz w:val="24"/>
                <w:szCs w:val="24"/>
                <w:lang w:val="en-US"/>
              </w:rPr>
              <w:t>Estimate</w:t>
            </w:r>
          </w:p>
        </w:tc>
        <w:tc>
          <w:tcPr>
            <w:tcW w:w="1350" w:type="dxa"/>
            <w:tcBorders>
              <w:top w:val="nil"/>
              <w:left w:val="nil"/>
              <w:bottom w:val="nil"/>
              <w:right w:val="nil"/>
            </w:tcBorders>
            <w:shd w:val="clear" w:color="auto" w:fill="D9D9D9"/>
          </w:tcPr>
          <w:p w14:paraId="4EABD19B" w14:textId="77777777" w:rsidR="00730234" w:rsidRPr="0095295B" w:rsidRDefault="00730234">
            <w:pPr>
              <w:autoSpaceDE w:val="0"/>
              <w:autoSpaceDN w:val="0"/>
              <w:adjustRightInd w:val="0"/>
              <w:spacing w:line="240" w:lineRule="auto"/>
              <w:jc w:val="right"/>
              <w:rPr>
                <w:rFonts w:ascii="Segoe UI" w:hAnsi="Segoe UI" w:cs="Segoe UI"/>
                <w:b/>
                <w:bCs/>
                <w:color w:val="000000"/>
                <w:sz w:val="24"/>
                <w:szCs w:val="24"/>
                <w:lang w:val="en-US"/>
              </w:rPr>
            </w:pPr>
            <w:r w:rsidRPr="0095295B">
              <w:rPr>
                <w:rFonts w:ascii="Segoe UI" w:hAnsi="Segoe UI" w:cs="Segoe UI"/>
                <w:b/>
                <w:bCs/>
                <w:color w:val="000000"/>
                <w:sz w:val="24"/>
                <w:szCs w:val="24"/>
                <w:lang w:val="en-US"/>
              </w:rPr>
              <w:t>Std Error</w:t>
            </w:r>
          </w:p>
        </w:tc>
        <w:tc>
          <w:tcPr>
            <w:tcW w:w="990" w:type="dxa"/>
            <w:tcBorders>
              <w:top w:val="nil"/>
              <w:left w:val="nil"/>
              <w:bottom w:val="nil"/>
              <w:right w:val="nil"/>
            </w:tcBorders>
            <w:shd w:val="clear" w:color="auto" w:fill="D9D9D9"/>
          </w:tcPr>
          <w:p w14:paraId="30951801" w14:textId="77777777" w:rsidR="00730234" w:rsidRPr="0095295B" w:rsidRDefault="00730234">
            <w:pPr>
              <w:autoSpaceDE w:val="0"/>
              <w:autoSpaceDN w:val="0"/>
              <w:adjustRightInd w:val="0"/>
              <w:spacing w:line="240" w:lineRule="auto"/>
              <w:jc w:val="right"/>
              <w:rPr>
                <w:rFonts w:ascii="Segoe UI" w:hAnsi="Segoe UI" w:cs="Segoe UI"/>
                <w:b/>
                <w:bCs/>
                <w:color w:val="000000"/>
                <w:sz w:val="24"/>
                <w:szCs w:val="24"/>
                <w:lang w:val="en-US"/>
              </w:rPr>
            </w:pPr>
            <w:r w:rsidRPr="0095295B">
              <w:rPr>
                <w:rFonts w:ascii="Segoe UI" w:hAnsi="Segoe UI" w:cs="Segoe UI"/>
                <w:b/>
                <w:bCs/>
                <w:color w:val="000000"/>
                <w:sz w:val="24"/>
                <w:szCs w:val="24"/>
                <w:lang w:val="en-US"/>
              </w:rPr>
              <w:t>t Ratio</w:t>
            </w:r>
          </w:p>
        </w:tc>
        <w:tc>
          <w:tcPr>
            <w:tcW w:w="1440" w:type="dxa"/>
            <w:tcBorders>
              <w:top w:val="nil"/>
              <w:left w:val="nil"/>
              <w:bottom w:val="nil"/>
              <w:right w:val="nil"/>
            </w:tcBorders>
            <w:shd w:val="clear" w:color="auto" w:fill="D9D9D9"/>
          </w:tcPr>
          <w:p w14:paraId="62C69908" w14:textId="77777777" w:rsidR="00730234" w:rsidRPr="0095295B" w:rsidRDefault="00730234">
            <w:pPr>
              <w:autoSpaceDE w:val="0"/>
              <w:autoSpaceDN w:val="0"/>
              <w:adjustRightInd w:val="0"/>
              <w:spacing w:line="240" w:lineRule="auto"/>
              <w:jc w:val="right"/>
              <w:rPr>
                <w:rFonts w:ascii="Segoe UI" w:hAnsi="Segoe UI" w:cs="Segoe UI"/>
                <w:b/>
                <w:bCs/>
                <w:color w:val="000000"/>
                <w:sz w:val="24"/>
                <w:szCs w:val="24"/>
                <w:lang w:val="en-US"/>
              </w:rPr>
            </w:pPr>
            <w:r w:rsidRPr="0095295B">
              <w:rPr>
                <w:rFonts w:ascii="Segoe UI" w:hAnsi="Segoe UI" w:cs="Segoe UI"/>
                <w:b/>
                <w:bCs/>
                <w:color w:val="000000"/>
                <w:sz w:val="24"/>
                <w:szCs w:val="24"/>
                <w:lang w:val="en-US"/>
              </w:rPr>
              <w:t>Prob&gt;|t|</w:t>
            </w:r>
          </w:p>
        </w:tc>
      </w:tr>
      <w:tr w:rsidR="00730234" w14:paraId="42400CFA" w14:textId="77777777" w:rsidTr="0095295B">
        <w:tblPrEx>
          <w:tblCellMar>
            <w:top w:w="0" w:type="dxa"/>
            <w:bottom w:w="0" w:type="dxa"/>
          </w:tblCellMar>
        </w:tblPrEx>
        <w:trPr>
          <w:trHeight w:val="319"/>
          <w:jc w:val="center"/>
        </w:trPr>
        <w:tc>
          <w:tcPr>
            <w:tcW w:w="1260" w:type="dxa"/>
            <w:tcBorders>
              <w:top w:val="nil"/>
              <w:left w:val="nil"/>
              <w:bottom w:val="nil"/>
              <w:right w:val="nil"/>
            </w:tcBorders>
          </w:tcPr>
          <w:p w14:paraId="5A397F2F" w14:textId="77777777" w:rsidR="00730234" w:rsidRPr="0095295B" w:rsidRDefault="00730234">
            <w:pPr>
              <w:autoSpaceDE w:val="0"/>
              <w:autoSpaceDN w:val="0"/>
              <w:adjustRightInd w:val="0"/>
              <w:spacing w:line="240" w:lineRule="auto"/>
              <w:rPr>
                <w:rFonts w:ascii="Segoe UI" w:hAnsi="Segoe UI" w:cs="Segoe UI"/>
                <w:color w:val="000000"/>
                <w:sz w:val="24"/>
                <w:szCs w:val="24"/>
                <w:lang w:val="en-US"/>
              </w:rPr>
            </w:pPr>
            <w:r w:rsidRPr="0095295B">
              <w:rPr>
                <w:rFonts w:ascii="Segoe UI" w:hAnsi="Segoe UI" w:cs="Segoe UI"/>
                <w:color w:val="000000"/>
                <w:sz w:val="24"/>
                <w:szCs w:val="24"/>
                <w:lang w:val="en-US"/>
              </w:rPr>
              <w:t>Intercept</w:t>
            </w:r>
          </w:p>
        </w:tc>
        <w:tc>
          <w:tcPr>
            <w:tcW w:w="1260" w:type="dxa"/>
            <w:tcBorders>
              <w:top w:val="nil"/>
              <w:left w:val="nil"/>
              <w:bottom w:val="nil"/>
              <w:right w:val="nil"/>
            </w:tcBorders>
          </w:tcPr>
          <w:p w14:paraId="6AD12056"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0.0791609</w:t>
            </w:r>
          </w:p>
        </w:tc>
        <w:tc>
          <w:tcPr>
            <w:tcW w:w="1350" w:type="dxa"/>
            <w:tcBorders>
              <w:top w:val="nil"/>
              <w:left w:val="nil"/>
              <w:bottom w:val="nil"/>
              <w:right w:val="nil"/>
            </w:tcBorders>
          </w:tcPr>
          <w:p w14:paraId="73D28384"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0.038098</w:t>
            </w:r>
          </w:p>
        </w:tc>
        <w:tc>
          <w:tcPr>
            <w:tcW w:w="990" w:type="dxa"/>
            <w:tcBorders>
              <w:top w:val="nil"/>
              <w:left w:val="nil"/>
              <w:bottom w:val="nil"/>
              <w:right w:val="nil"/>
            </w:tcBorders>
          </w:tcPr>
          <w:p w14:paraId="6E0C5DF4"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2.08</w:t>
            </w:r>
          </w:p>
        </w:tc>
        <w:tc>
          <w:tcPr>
            <w:tcW w:w="1440" w:type="dxa"/>
            <w:tcBorders>
              <w:top w:val="nil"/>
              <w:left w:val="nil"/>
              <w:bottom w:val="nil"/>
              <w:right w:val="nil"/>
            </w:tcBorders>
          </w:tcPr>
          <w:p w14:paraId="6B7D5558"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0.0830</w:t>
            </w:r>
          </w:p>
        </w:tc>
      </w:tr>
      <w:tr w:rsidR="00730234" w14:paraId="09C0AFCE" w14:textId="77777777" w:rsidTr="0095295B">
        <w:tblPrEx>
          <w:tblCellMar>
            <w:top w:w="0" w:type="dxa"/>
            <w:bottom w:w="0" w:type="dxa"/>
          </w:tblCellMar>
        </w:tblPrEx>
        <w:trPr>
          <w:trHeight w:val="319"/>
          <w:jc w:val="center"/>
        </w:trPr>
        <w:tc>
          <w:tcPr>
            <w:tcW w:w="1260" w:type="dxa"/>
            <w:tcBorders>
              <w:top w:val="nil"/>
              <w:left w:val="nil"/>
              <w:bottom w:val="nil"/>
              <w:right w:val="nil"/>
            </w:tcBorders>
          </w:tcPr>
          <w:p w14:paraId="2E3E9DFA" w14:textId="77777777" w:rsidR="00730234" w:rsidRPr="0095295B" w:rsidRDefault="00730234">
            <w:pPr>
              <w:autoSpaceDE w:val="0"/>
              <w:autoSpaceDN w:val="0"/>
              <w:adjustRightInd w:val="0"/>
              <w:spacing w:line="240" w:lineRule="auto"/>
              <w:rPr>
                <w:rFonts w:ascii="Segoe UI" w:hAnsi="Segoe UI" w:cs="Segoe UI"/>
                <w:color w:val="000000"/>
                <w:sz w:val="24"/>
                <w:szCs w:val="24"/>
                <w:lang w:val="en-US"/>
              </w:rPr>
            </w:pPr>
            <w:r w:rsidRPr="0095295B">
              <w:rPr>
                <w:rFonts w:ascii="Segoe UI" w:hAnsi="Segoe UI" w:cs="Segoe UI"/>
                <w:color w:val="000000"/>
                <w:sz w:val="24"/>
                <w:szCs w:val="24"/>
                <w:lang w:val="en-US"/>
              </w:rPr>
              <w:t>flow</w:t>
            </w:r>
          </w:p>
        </w:tc>
        <w:tc>
          <w:tcPr>
            <w:tcW w:w="1260" w:type="dxa"/>
            <w:tcBorders>
              <w:top w:val="nil"/>
              <w:left w:val="nil"/>
              <w:bottom w:val="nil"/>
              <w:right w:val="nil"/>
            </w:tcBorders>
          </w:tcPr>
          <w:p w14:paraId="333F3A6A"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 xml:space="preserve"> -7.061e-6</w:t>
            </w:r>
          </w:p>
        </w:tc>
        <w:tc>
          <w:tcPr>
            <w:tcW w:w="1350" w:type="dxa"/>
            <w:tcBorders>
              <w:top w:val="nil"/>
              <w:left w:val="nil"/>
              <w:bottom w:val="nil"/>
              <w:right w:val="nil"/>
            </w:tcBorders>
          </w:tcPr>
          <w:p w14:paraId="1BB0CFFF"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3.273e-5</w:t>
            </w:r>
          </w:p>
        </w:tc>
        <w:tc>
          <w:tcPr>
            <w:tcW w:w="990" w:type="dxa"/>
            <w:tcBorders>
              <w:top w:val="nil"/>
              <w:left w:val="nil"/>
              <w:bottom w:val="nil"/>
              <w:right w:val="nil"/>
            </w:tcBorders>
          </w:tcPr>
          <w:p w14:paraId="69283B28"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 xml:space="preserve"> -0.22</w:t>
            </w:r>
          </w:p>
        </w:tc>
        <w:tc>
          <w:tcPr>
            <w:tcW w:w="1440" w:type="dxa"/>
            <w:tcBorders>
              <w:top w:val="nil"/>
              <w:left w:val="nil"/>
              <w:bottom w:val="nil"/>
              <w:right w:val="nil"/>
            </w:tcBorders>
          </w:tcPr>
          <w:p w14:paraId="47725F59" w14:textId="77777777" w:rsidR="00730234" w:rsidRPr="0095295B" w:rsidRDefault="00730234">
            <w:pPr>
              <w:autoSpaceDE w:val="0"/>
              <w:autoSpaceDN w:val="0"/>
              <w:adjustRightInd w:val="0"/>
              <w:spacing w:line="240" w:lineRule="auto"/>
              <w:jc w:val="right"/>
              <w:rPr>
                <w:rFonts w:ascii="Segoe UI" w:hAnsi="Segoe UI" w:cs="Segoe UI"/>
                <w:color w:val="000000"/>
                <w:sz w:val="24"/>
                <w:szCs w:val="24"/>
                <w:lang w:val="en-US"/>
              </w:rPr>
            </w:pPr>
            <w:r w:rsidRPr="0095295B">
              <w:rPr>
                <w:rFonts w:ascii="Segoe UI" w:hAnsi="Segoe UI" w:cs="Segoe UI"/>
                <w:color w:val="000000"/>
                <w:sz w:val="24"/>
                <w:szCs w:val="24"/>
                <w:lang w:val="en-US"/>
              </w:rPr>
              <w:t>0.8363</w:t>
            </w:r>
          </w:p>
        </w:tc>
      </w:tr>
    </w:tbl>
    <w:p w14:paraId="558E34CC" w14:textId="77777777" w:rsidR="00730234" w:rsidRDefault="00730234" w:rsidP="008E033D">
      <w:pPr>
        <w:rPr>
          <w:rFonts w:ascii="Calibri" w:eastAsia="Calibri" w:hAnsi="Calibri" w:cs="Calibri"/>
          <w:sz w:val="24"/>
          <w:szCs w:val="24"/>
          <w:lang w:val="en-US"/>
        </w:rPr>
      </w:pPr>
    </w:p>
    <w:p w14:paraId="1E191020" w14:textId="6157E371" w:rsidR="0095295B" w:rsidRDefault="0095295B" w:rsidP="008E033D">
      <w:pPr>
        <w:rPr>
          <w:rFonts w:ascii="Calibri" w:eastAsia="Calibri" w:hAnsi="Calibri" w:cs="Calibri"/>
          <w:sz w:val="24"/>
          <w:szCs w:val="24"/>
        </w:rPr>
      </w:pPr>
      <w:r w:rsidRPr="0095295B">
        <w:rPr>
          <w:rFonts w:ascii="Calibri" w:eastAsia="Calibri" w:hAnsi="Calibri" w:cs="Calibri"/>
          <w:sz w:val="24"/>
          <w:szCs w:val="24"/>
        </w:rPr>
        <w:t>INTERPRETATION: For every 1000 ft^3/sec increase in flow, we can expect a 0.00706 decrease in the proportion of DNFs.</w:t>
      </w:r>
    </w:p>
    <w:p w14:paraId="6269DFB4" w14:textId="77777777" w:rsidR="0095295B" w:rsidRDefault="0095295B" w:rsidP="008E033D">
      <w:pPr>
        <w:rPr>
          <w:rFonts w:ascii="Calibri" w:eastAsia="Calibri" w:hAnsi="Calibri" w:cs="Calibri"/>
          <w:sz w:val="24"/>
          <w:szCs w:val="24"/>
        </w:rPr>
      </w:pPr>
    </w:p>
    <w:p w14:paraId="2CD26C3F" w14:textId="035BB696" w:rsidR="0095295B" w:rsidRPr="0095295B" w:rsidRDefault="0095295B" w:rsidP="0095295B">
      <w:pPr>
        <w:rPr>
          <w:rFonts w:ascii="Calibri" w:eastAsia="Calibri" w:hAnsi="Calibri" w:cs="Calibri"/>
          <w:b/>
          <w:bCs/>
          <w:sz w:val="24"/>
          <w:szCs w:val="24"/>
          <w:lang w:val="en-US"/>
        </w:rPr>
      </w:pPr>
      <w:r>
        <w:rPr>
          <w:rFonts w:ascii="Calibri" w:eastAsia="Calibri" w:hAnsi="Calibri" w:cs="Calibri"/>
          <w:b/>
          <w:bCs/>
          <w:sz w:val="24"/>
          <w:szCs w:val="24"/>
          <w:lang w:val="en-US"/>
        </w:rPr>
        <w:t>b</w:t>
      </w:r>
      <w:r w:rsidRPr="0095295B">
        <w:rPr>
          <w:rFonts w:ascii="Calibri" w:eastAsia="Calibri" w:hAnsi="Calibri" w:cs="Calibri"/>
          <w:b/>
          <w:bCs/>
          <w:sz w:val="24"/>
          <w:szCs w:val="24"/>
          <w:lang w:val="en-US"/>
        </w:rPr>
        <w:t>) What does the p-value for that coefficient indicate about the relationship between flow rate and proportion of DNF?</w:t>
      </w:r>
    </w:p>
    <w:p w14:paraId="36B88C86" w14:textId="5C23310D" w:rsidR="0095295B" w:rsidRPr="0095295B" w:rsidRDefault="0095295B" w:rsidP="008E033D">
      <w:pPr>
        <w:rPr>
          <w:rFonts w:ascii="Calibri" w:eastAsia="Calibri" w:hAnsi="Calibri" w:cs="Calibri"/>
          <w:sz w:val="24"/>
          <w:szCs w:val="24"/>
          <w:lang w:val="en-US"/>
        </w:rPr>
      </w:pPr>
      <w:r>
        <w:rPr>
          <w:rFonts w:ascii="Calibri" w:eastAsia="Calibri" w:hAnsi="Calibri" w:cs="Calibri"/>
          <w:sz w:val="24"/>
          <w:szCs w:val="24"/>
        </w:rPr>
        <w:t>T</w:t>
      </w:r>
      <w:r w:rsidRPr="0095295B">
        <w:rPr>
          <w:rFonts w:ascii="Calibri" w:eastAsia="Calibri" w:hAnsi="Calibri" w:cs="Calibri"/>
          <w:sz w:val="24"/>
          <w:szCs w:val="24"/>
        </w:rPr>
        <w:t>he p-value for the flow coefficient is 0.836, which means there is no convincing evidence for flow being a useful predictor of proportion DNF in the linear model made using this dataset.</w:t>
      </w:r>
    </w:p>
    <w:p w14:paraId="7FCD6E9A" w14:textId="4D1DA39A" w:rsidR="0095295B" w:rsidRDefault="0095295B">
      <w:pPr>
        <w:rPr>
          <w:rFonts w:ascii="Calibri" w:eastAsia="Calibri" w:hAnsi="Calibri" w:cs="Calibri"/>
          <w:sz w:val="24"/>
          <w:szCs w:val="24"/>
          <w:lang w:val="en-US"/>
        </w:rPr>
      </w:pPr>
      <w:r>
        <w:rPr>
          <w:rFonts w:ascii="Calibri" w:eastAsia="Calibri" w:hAnsi="Calibri" w:cs="Calibri"/>
          <w:sz w:val="24"/>
          <w:szCs w:val="24"/>
          <w:lang w:val="en-US"/>
        </w:rPr>
        <w:br w:type="page"/>
      </w:r>
    </w:p>
    <w:p w14:paraId="790A2BF7" w14:textId="77777777" w:rsidR="0095295B" w:rsidRPr="0095295B" w:rsidRDefault="0095295B" w:rsidP="0095295B">
      <w:pPr>
        <w:rPr>
          <w:rFonts w:ascii="Calibri" w:eastAsia="Calibri" w:hAnsi="Calibri" w:cs="Calibri"/>
          <w:b/>
          <w:bCs/>
          <w:sz w:val="24"/>
          <w:szCs w:val="24"/>
          <w:lang w:val="en-US"/>
        </w:rPr>
      </w:pPr>
      <w:r w:rsidRPr="0095295B">
        <w:rPr>
          <w:rFonts w:ascii="Calibri" w:eastAsia="Calibri" w:hAnsi="Calibri" w:cs="Calibri"/>
          <w:b/>
          <w:bCs/>
          <w:sz w:val="24"/>
          <w:szCs w:val="24"/>
          <w:lang w:val="en-US"/>
        </w:rPr>
        <w:lastRenderedPageBreak/>
        <w:t>c) Comment on the appropriateness of the model</w:t>
      </w:r>
    </w:p>
    <w:p w14:paraId="051A29A9" w14:textId="2B15763C" w:rsidR="0095295B" w:rsidRDefault="0095295B" w:rsidP="008E033D">
      <w:pPr>
        <w:rPr>
          <w:rFonts w:ascii="Calibri" w:eastAsia="Calibri" w:hAnsi="Calibri" w:cs="Calibri"/>
          <w:sz w:val="24"/>
          <w:szCs w:val="24"/>
          <w:lang w:val="en-US"/>
        </w:rPr>
      </w:pPr>
      <w:r w:rsidRPr="0095295B">
        <w:rPr>
          <w:rFonts w:ascii="Calibri" w:eastAsia="Calibri" w:hAnsi="Calibri" w:cs="Calibri"/>
          <w:sz w:val="24"/>
          <w:szCs w:val="24"/>
        </w:rPr>
        <w:t>Based on the scatterplot and the model summary, a linear model does not appear to be appropriate. There is one observation with a very high flow rate and low DNF influencing the model too much for it to make sense.</w:t>
      </w:r>
    </w:p>
    <w:p w14:paraId="53EFE4C8" w14:textId="77777777" w:rsidR="0095295B" w:rsidRDefault="0095295B" w:rsidP="008E033D">
      <w:pPr>
        <w:rPr>
          <w:rFonts w:ascii="Calibri" w:eastAsia="Calibri" w:hAnsi="Calibri" w:cs="Calibri"/>
          <w:sz w:val="24"/>
          <w:szCs w:val="24"/>
          <w:lang w:val="en-US"/>
        </w:rPr>
      </w:pPr>
    </w:p>
    <w:p w14:paraId="604AF694" w14:textId="77777777" w:rsidR="0095295B" w:rsidRDefault="0095295B" w:rsidP="0095295B">
      <w:pPr>
        <w:rPr>
          <w:rFonts w:ascii="Calibri" w:eastAsia="Calibri" w:hAnsi="Calibri" w:cs="Calibri"/>
          <w:b/>
          <w:bCs/>
          <w:sz w:val="24"/>
          <w:szCs w:val="24"/>
          <w:lang w:val="en-US"/>
        </w:rPr>
      </w:pPr>
      <w:r w:rsidRPr="0095295B">
        <w:rPr>
          <w:rFonts w:ascii="Calibri" w:eastAsia="Calibri" w:hAnsi="Calibri" w:cs="Calibri"/>
          <w:b/>
          <w:bCs/>
          <w:sz w:val="24"/>
          <w:szCs w:val="24"/>
          <w:lang w:val="en-US"/>
        </w:rPr>
        <w:t>Investigate unusual/influential Observations</w:t>
      </w:r>
    </w:p>
    <w:p w14:paraId="4512F077" w14:textId="77777777" w:rsidR="0095295B" w:rsidRPr="0095295B" w:rsidRDefault="0095295B" w:rsidP="0095295B">
      <w:pPr>
        <w:rPr>
          <w:rFonts w:ascii="Calibri" w:eastAsia="Calibri" w:hAnsi="Calibri" w:cs="Calibri"/>
          <w:b/>
          <w:bCs/>
          <w:sz w:val="24"/>
          <w:szCs w:val="24"/>
          <w:lang w:val="en-US"/>
        </w:rPr>
      </w:pPr>
    </w:p>
    <w:p w14:paraId="36E283E0" w14:textId="77777777" w:rsidR="0095295B" w:rsidRPr="0095295B" w:rsidRDefault="0095295B" w:rsidP="0095295B">
      <w:pPr>
        <w:rPr>
          <w:rFonts w:ascii="Calibri" w:eastAsia="Calibri" w:hAnsi="Calibri" w:cs="Calibri"/>
          <w:b/>
          <w:bCs/>
          <w:sz w:val="24"/>
          <w:szCs w:val="24"/>
          <w:lang w:val="en-US"/>
        </w:rPr>
      </w:pPr>
      <w:r w:rsidRPr="0095295B">
        <w:rPr>
          <w:rFonts w:ascii="Calibri" w:eastAsia="Calibri" w:hAnsi="Calibri" w:cs="Calibri"/>
          <w:b/>
          <w:bCs/>
          <w:sz w:val="24"/>
          <w:szCs w:val="24"/>
          <w:lang w:val="en-US"/>
        </w:rPr>
        <w:t>3. Identify any observations that have unusual leverage, standardized residuals, or influence.</w:t>
      </w:r>
    </w:p>
    <w:p w14:paraId="71F5B9E9" w14:textId="77777777" w:rsidR="0095295B" w:rsidRDefault="0095295B" w:rsidP="008E033D">
      <w:pPr>
        <w:rPr>
          <w:rFonts w:ascii="Calibri" w:eastAsia="Calibri" w:hAnsi="Calibri" w:cs="Calibri"/>
          <w:sz w:val="24"/>
          <w:szCs w:val="24"/>
          <w:lang w:val="en-US"/>
        </w:rPr>
      </w:pPr>
    </w:p>
    <w:p w14:paraId="27E645C5" w14:textId="0785B541" w:rsidR="00AB69EA" w:rsidRDefault="00AB69EA" w:rsidP="008E033D">
      <w:pPr>
        <w:rPr>
          <w:rFonts w:ascii="Calibri" w:eastAsia="Calibri" w:hAnsi="Calibri" w:cs="Calibri"/>
          <w:sz w:val="24"/>
          <w:szCs w:val="24"/>
          <w:lang w:val="en-US"/>
        </w:rPr>
      </w:pPr>
      <w:r>
        <w:rPr>
          <w:rFonts w:ascii="Calibri" w:eastAsia="Calibri" w:hAnsi="Calibri" w:cs="Calibri"/>
          <w:sz w:val="24"/>
          <w:szCs w:val="24"/>
          <w:lang w:val="en-US"/>
        </w:rPr>
        <w:t xml:space="preserve">Using </w:t>
      </w:r>
      <w:proofErr w:type="gramStart"/>
      <w:r>
        <w:rPr>
          <w:rFonts w:ascii="Calibri" w:eastAsia="Calibri" w:hAnsi="Calibri" w:cs="Calibri"/>
          <w:sz w:val="24"/>
          <w:szCs w:val="24"/>
          <w:lang w:val="en-US"/>
        </w:rPr>
        <w:t>software</w:t>
      </w:r>
      <w:proofErr w:type="gramEnd"/>
      <w:r>
        <w:rPr>
          <w:rFonts w:ascii="Calibri" w:eastAsia="Calibri" w:hAnsi="Calibri" w:cs="Calibri"/>
          <w:sz w:val="24"/>
          <w:szCs w:val="24"/>
          <w:lang w:val="en-US"/>
        </w:rPr>
        <w:t xml:space="preserve"> we add values to the original dataset for the leverage (hat values), standardized residuals, and Cook’s D to measure influence.</w:t>
      </w:r>
    </w:p>
    <w:p w14:paraId="5502E215" w14:textId="77777777" w:rsidR="00AB69EA" w:rsidRDefault="00AB69EA" w:rsidP="008E033D">
      <w:pPr>
        <w:rPr>
          <w:rFonts w:ascii="Calibri" w:eastAsia="Calibri" w:hAnsi="Calibri" w:cs="Calibri"/>
          <w:sz w:val="24"/>
          <w:szCs w:val="24"/>
          <w:lang w:val="en-US"/>
        </w:rPr>
      </w:pPr>
    </w:p>
    <w:tbl>
      <w:tblPr>
        <w:tblStyle w:val="TableGrid"/>
        <w:tblW w:w="9350" w:type="dxa"/>
        <w:tblLook w:val="04A0" w:firstRow="1" w:lastRow="0" w:firstColumn="1" w:lastColumn="0" w:noHBand="0" w:noVBand="1"/>
      </w:tblPr>
      <w:tblGrid>
        <w:gridCol w:w="1557"/>
        <w:gridCol w:w="1558"/>
        <w:gridCol w:w="1200"/>
        <w:gridCol w:w="1620"/>
        <w:gridCol w:w="1980"/>
        <w:gridCol w:w="1435"/>
      </w:tblGrid>
      <w:tr w:rsidR="00AB69EA" w:rsidRPr="00AB69EA" w14:paraId="423F23A1" w14:textId="77777777" w:rsidTr="00AB69EA">
        <w:tc>
          <w:tcPr>
            <w:tcW w:w="1557" w:type="dxa"/>
          </w:tcPr>
          <w:p w14:paraId="4BE8E64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year</w:t>
            </w:r>
          </w:p>
        </w:tc>
        <w:tc>
          <w:tcPr>
            <w:tcW w:w="1558" w:type="dxa"/>
          </w:tcPr>
          <w:p w14:paraId="40D63590" w14:textId="77777777" w:rsidR="00AB69EA" w:rsidRPr="00AB69EA" w:rsidRDefault="00AB69EA" w:rsidP="00AB69EA">
            <w:pPr>
              <w:jc w:val="right"/>
              <w:rPr>
                <w:rFonts w:ascii="Calibri" w:eastAsia="Calibri" w:hAnsi="Calibri" w:cs="Calibri"/>
                <w:sz w:val="24"/>
                <w:szCs w:val="24"/>
                <w:lang w:val="en-US"/>
              </w:rPr>
            </w:pPr>
            <w:proofErr w:type="spellStart"/>
            <w:r w:rsidRPr="00AB69EA">
              <w:rPr>
                <w:rFonts w:ascii="Calibri" w:eastAsia="Calibri" w:hAnsi="Calibri" w:cs="Calibri"/>
                <w:sz w:val="24"/>
                <w:szCs w:val="24"/>
                <w:lang w:val="en-US"/>
              </w:rPr>
              <w:t>prop_DNF</w:t>
            </w:r>
            <w:proofErr w:type="spellEnd"/>
          </w:p>
        </w:tc>
        <w:tc>
          <w:tcPr>
            <w:tcW w:w="1200" w:type="dxa"/>
          </w:tcPr>
          <w:p w14:paraId="74D1B478"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flow</w:t>
            </w:r>
          </w:p>
        </w:tc>
        <w:tc>
          <w:tcPr>
            <w:tcW w:w="1620" w:type="dxa"/>
          </w:tcPr>
          <w:p w14:paraId="63673BCE" w14:textId="76E4F139" w:rsidR="00AB69EA" w:rsidRPr="00AB69EA" w:rsidRDefault="00AB69EA" w:rsidP="00AB69EA">
            <w:pPr>
              <w:jc w:val="right"/>
              <w:rPr>
                <w:rFonts w:ascii="Calibri" w:eastAsia="Calibri" w:hAnsi="Calibri" w:cs="Calibri"/>
                <w:sz w:val="24"/>
                <w:szCs w:val="24"/>
                <w:lang w:val="en-US"/>
              </w:rPr>
            </w:pPr>
            <w:r>
              <w:rPr>
                <w:rFonts w:ascii="Calibri" w:eastAsia="Calibri" w:hAnsi="Calibri" w:cs="Calibri"/>
                <w:sz w:val="24"/>
                <w:szCs w:val="24"/>
                <w:lang w:val="en-US"/>
              </w:rPr>
              <w:t>Hat values</w:t>
            </w:r>
          </w:p>
        </w:tc>
        <w:tc>
          <w:tcPr>
            <w:tcW w:w="1980" w:type="dxa"/>
          </w:tcPr>
          <w:p w14:paraId="7C1EB61D" w14:textId="7A4B44B0" w:rsidR="00AB69EA" w:rsidRPr="00AB69EA" w:rsidRDefault="00AB69EA" w:rsidP="00AB69EA">
            <w:pPr>
              <w:jc w:val="right"/>
              <w:rPr>
                <w:rFonts w:ascii="Calibri" w:eastAsia="Calibri" w:hAnsi="Calibri" w:cs="Calibri"/>
                <w:sz w:val="24"/>
                <w:szCs w:val="24"/>
                <w:lang w:val="en-US"/>
              </w:rPr>
            </w:pPr>
            <w:r>
              <w:rPr>
                <w:rFonts w:ascii="Calibri" w:eastAsia="Calibri" w:hAnsi="Calibri" w:cs="Calibri"/>
                <w:sz w:val="24"/>
                <w:szCs w:val="24"/>
                <w:lang w:val="en-US"/>
              </w:rPr>
              <w:t>Standardized Res</w:t>
            </w:r>
            <w:r>
              <w:rPr>
                <w:rFonts w:ascii="Calibri" w:eastAsia="Calibri" w:hAnsi="Calibri" w:cs="Calibri"/>
                <w:sz w:val="24"/>
                <w:szCs w:val="24"/>
                <w:lang w:val="en-US"/>
              </w:rPr>
              <w:t>.</w:t>
            </w:r>
          </w:p>
        </w:tc>
        <w:tc>
          <w:tcPr>
            <w:tcW w:w="1435" w:type="dxa"/>
          </w:tcPr>
          <w:p w14:paraId="0A6E3DA2" w14:textId="7D98CD79"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COOK</w:t>
            </w:r>
            <w:r>
              <w:rPr>
                <w:rFonts w:ascii="Calibri" w:eastAsia="Calibri" w:hAnsi="Calibri" w:cs="Calibri"/>
                <w:sz w:val="24"/>
                <w:szCs w:val="24"/>
                <w:lang w:val="en-US"/>
              </w:rPr>
              <w:t>s D</w:t>
            </w:r>
          </w:p>
        </w:tc>
      </w:tr>
      <w:tr w:rsidR="00AB69EA" w:rsidRPr="00AB69EA" w14:paraId="0F43B2FE" w14:textId="77777777" w:rsidTr="00AB69EA">
        <w:tc>
          <w:tcPr>
            <w:tcW w:w="1557" w:type="dxa"/>
          </w:tcPr>
          <w:p w14:paraId="0B469EAC"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2015</w:t>
            </w:r>
          </w:p>
        </w:tc>
        <w:tc>
          <w:tcPr>
            <w:tcW w:w="1558" w:type="dxa"/>
          </w:tcPr>
          <w:p w14:paraId="2F41F564"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0.0636</w:t>
            </w:r>
          </w:p>
        </w:tc>
        <w:tc>
          <w:tcPr>
            <w:tcW w:w="1200" w:type="dxa"/>
          </w:tcPr>
          <w:p w14:paraId="106FCD0E"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300</w:t>
            </w:r>
          </w:p>
        </w:tc>
        <w:tc>
          <w:tcPr>
            <w:tcW w:w="1620" w:type="dxa"/>
          </w:tcPr>
          <w:p w14:paraId="08726566"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0.210017</w:t>
            </w:r>
          </w:p>
        </w:tc>
        <w:tc>
          <w:tcPr>
            <w:tcW w:w="1980" w:type="dxa"/>
          </w:tcPr>
          <w:p w14:paraId="6FAA6F44" w14:textId="37415FC8"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-0.22293</w:t>
            </w:r>
          </w:p>
        </w:tc>
        <w:tc>
          <w:tcPr>
            <w:tcW w:w="1435" w:type="dxa"/>
          </w:tcPr>
          <w:p w14:paraId="27A8BC11" w14:textId="726D14E6"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0.00661</w:t>
            </w:r>
          </w:p>
        </w:tc>
      </w:tr>
      <w:tr w:rsidR="00AB69EA" w:rsidRPr="00AB69EA" w14:paraId="7438CBBB" w14:textId="77777777" w:rsidTr="00AB69EA">
        <w:tc>
          <w:tcPr>
            <w:tcW w:w="1557" w:type="dxa"/>
          </w:tcPr>
          <w:p w14:paraId="33367372"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2016</w:t>
            </w:r>
          </w:p>
        </w:tc>
        <w:tc>
          <w:tcPr>
            <w:tcW w:w="1558" w:type="dxa"/>
          </w:tcPr>
          <w:p w14:paraId="4AF7A698"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0.0309</w:t>
            </w:r>
          </w:p>
        </w:tc>
        <w:tc>
          <w:tcPr>
            <w:tcW w:w="1200" w:type="dxa"/>
          </w:tcPr>
          <w:p w14:paraId="19BEE85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636</w:t>
            </w:r>
          </w:p>
        </w:tc>
        <w:tc>
          <w:tcPr>
            <w:tcW w:w="1620" w:type="dxa"/>
          </w:tcPr>
          <w:p w14:paraId="65AC187D"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0.141764</w:t>
            </w:r>
          </w:p>
        </w:tc>
        <w:tc>
          <w:tcPr>
            <w:tcW w:w="1980" w:type="dxa"/>
          </w:tcPr>
          <w:p w14:paraId="314FFD58" w14:textId="62045CB0"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-0.69643</w:t>
            </w:r>
          </w:p>
        </w:tc>
        <w:tc>
          <w:tcPr>
            <w:tcW w:w="1435" w:type="dxa"/>
          </w:tcPr>
          <w:p w14:paraId="16346CA6" w14:textId="5197BD5D"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0.04006</w:t>
            </w:r>
          </w:p>
        </w:tc>
      </w:tr>
      <w:tr w:rsidR="00AB69EA" w:rsidRPr="00AB69EA" w14:paraId="6FAFE0DA" w14:textId="77777777" w:rsidTr="00AB69EA">
        <w:tc>
          <w:tcPr>
            <w:tcW w:w="1557" w:type="dxa"/>
          </w:tcPr>
          <w:p w14:paraId="41ECC450"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2017</w:t>
            </w:r>
          </w:p>
        </w:tc>
        <w:tc>
          <w:tcPr>
            <w:tcW w:w="1558" w:type="dxa"/>
          </w:tcPr>
          <w:p w14:paraId="333402CF"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0.0051</w:t>
            </w:r>
          </w:p>
        </w:tc>
        <w:tc>
          <w:tcPr>
            <w:tcW w:w="1200" w:type="dxa"/>
          </w:tcPr>
          <w:p w14:paraId="6D5C9F8E"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2649</w:t>
            </w:r>
          </w:p>
        </w:tc>
        <w:tc>
          <w:tcPr>
            <w:tcW w:w="1620" w:type="dxa"/>
          </w:tcPr>
          <w:p w14:paraId="6AE91449"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0.833427</w:t>
            </w:r>
          </w:p>
        </w:tc>
        <w:tc>
          <w:tcPr>
            <w:tcW w:w="1980" w:type="dxa"/>
          </w:tcPr>
          <w:p w14:paraId="563AE727" w14:textId="5C64AE64"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-1.99923</w:t>
            </w:r>
          </w:p>
        </w:tc>
        <w:tc>
          <w:tcPr>
            <w:tcW w:w="1435" w:type="dxa"/>
          </w:tcPr>
          <w:p w14:paraId="0ABC2A4F" w14:textId="0A1CB660"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9.99904</w:t>
            </w:r>
          </w:p>
        </w:tc>
      </w:tr>
      <w:tr w:rsidR="00AB69EA" w:rsidRPr="00AB69EA" w14:paraId="13296518" w14:textId="77777777" w:rsidTr="00AB69EA">
        <w:tc>
          <w:tcPr>
            <w:tcW w:w="1557" w:type="dxa"/>
          </w:tcPr>
          <w:p w14:paraId="49520853"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2018</w:t>
            </w:r>
          </w:p>
        </w:tc>
        <w:tc>
          <w:tcPr>
            <w:tcW w:w="1558" w:type="dxa"/>
          </w:tcPr>
          <w:p w14:paraId="6B163F2D"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0.0570</w:t>
            </w:r>
          </w:p>
        </w:tc>
        <w:tc>
          <w:tcPr>
            <w:tcW w:w="1200" w:type="dxa"/>
          </w:tcPr>
          <w:p w14:paraId="4F82982F"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450</w:t>
            </w:r>
          </w:p>
        </w:tc>
        <w:tc>
          <w:tcPr>
            <w:tcW w:w="1620" w:type="dxa"/>
          </w:tcPr>
          <w:p w14:paraId="258188FE"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0.173053</w:t>
            </w:r>
          </w:p>
        </w:tc>
        <w:tc>
          <w:tcPr>
            <w:tcW w:w="1980" w:type="dxa"/>
          </w:tcPr>
          <w:p w14:paraId="3FD1F5A0" w14:textId="1D832618"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-0.30771</w:t>
            </w:r>
          </w:p>
        </w:tc>
        <w:tc>
          <w:tcPr>
            <w:tcW w:w="1435" w:type="dxa"/>
          </w:tcPr>
          <w:p w14:paraId="757135C9" w14:textId="657499FF"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0.00991</w:t>
            </w:r>
          </w:p>
        </w:tc>
      </w:tr>
      <w:tr w:rsidR="00AB69EA" w:rsidRPr="00AB69EA" w14:paraId="7D819114" w14:textId="77777777" w:rsidTr="00AB69EA">
        <w:tc>
          <w:tcPr>
            <w:tcW w:w="1557" w:type="dxa"/>
          </w:tcPr>
          <w:p w14:paraId="361813F9"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2022</w:t>
            </w:r>
          </w:p>
        </w:tc>
        <w:tc>
          <w:tcPr>
            <w:tcW w:w="1558" w:type="dxa"/>
          </w:tcPr>
          <w:p w14:paraId="54C31185"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0.1643</w:t>
            </w:r>
          </w:p>
        </w:tc>
        <w:tc>
          <w:tcPr>
            <w:tcW w:w="1200" w:type="dxa"/>
          </w:tcPr>
          <w:p w14:paraId="5A8401E4"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1400</w:t>
            </w:r>
          </w:p>
        </w:tc>
        <w:tc>
          <w:tcPr>
            <w:tcW w:w="1620" w:type="dxa"/>
          </w:tcPr>
          <w:p w14:paraId="3F08E2B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0.182174</w:t>
            </w:r>
          </w:p>
        </w:tc>
        <w:tc>
          <w:tcPr>
            <w:tcW w:w="1980" w:type="dxa"/>
          </w:tcPr>
          <w:p w14:paraId="567F6655" w14:textId="4B59328C"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1.54884</w:t>
            </w:r>
          </w:p>
        </w:tc>
        <w:tc>
          <w:tcPr>
            <w:tcW w:w="1435" w:type="dxa"/>
          </w:tcPr>
          <w:p w14:paraId="52ED87DA" w14:textId="776D1564"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0.26718</w:t>
            </w:r>
          </w:p>
        </w:tc>
      </w:tr>
      <w:tr w:rsidR="00AB69EA" w:rsidRPr="00AB69EA" w14:paraId="3802F14F" w14:textId="77777777" w:rsidTr="00AB69EA">
        <w:tc>
          <w:tcPr>
            <w:tcW w:w="1557" w:type="dxa"/>
          </w:tcPr>
          <w:p w14:paraId="6EA7B92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2023</w:t>
            </w:r>
          </w:p>
        </w:tc>
        <w:tc>
          <w:tcPr>
            <w:tcW w:w="1558" w:type="dxa"/>
          </w:tcPr>
          <w:p w14:paraId="33761369"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0.0791</w:t>
            </w:r>
          </w:p>
        </w:tc>
        <w:tc>
          <w:tcPr>
            <w:tcW w:w="1200" w:type="dxa"/>
          </w:tcPr>
          <w:p w14:paraId="53D376B0"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630</w:t>
            </w:r>
          </w:p>
        </w:tc>
        <w:tc>
          <w:tcPr>
            <w:tcW w:w="1620" w:type="dxa"/>
          </w:tcPr>
          <w:p w14:paraId="4710FBEB"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0.142522</w:t>
            </w:r>
          </w:p>
        </w:tc>
        <w:tc>
          <w:tcPr>
            <w:tcW w:w="1980" w:type="dxa"/>
          </w:tcPr>
          <w:p w14:paraId="5645C7E3" w14:textId="37F4F7CE"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0.06984</w:t>
            </w:r>
          </w:p>
        </w:tc>
        <w:tc>
          <w:tcPr>
            <w:tcW w:w="1435" w:type="dxa"/>
          </w:tcPr>
          <w:p w14:paraId="719D3B90" w14:textId="142218D9"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0.00041</w:t>
            </w:r>
          </w:p>
        </w:tc>
      </w:tr>
      <w:tr w:rsidR="00AB69EA" w:rsidRPr="00AB69EA" w14:paraId="06640EEC" w14:textId="77777777" w:rsidTr="00AB69EA">
        <w:tc>
          <w:tcPr>
            <w:tcW w:w="1557" w:type="dxa"/>
          </w:tcPr>
          <w:p w14:paraId="63F0300D"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2024</w:t>
            </w:r>
          </w:p>
        </w:tc>
        <w:tc>
          <w:tcPr>
            <w:tcW w:w="1558" w:type="dxa"/>
          </w:tcPr>
          <w:p w14:paraId="10704016"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0.1688</w:t>
            </w:r>
          </w:p>
        </w:tc>
        <w:tc>
          <w:tcPr>
            <w:tcW w:w="1200" w:type="dxa"/>
          </w:tcPr>
          <w:p w14:paraId="3D574BE8"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790</w:t>
            </w:r>
          </w:p>
        </w:tc>
        <w:tc>
          <w:tcPr>
            <w:tcW w:w="1620" w:type="dxa"/>
          </w:tcPr>
          <w:p w14:paraId="1D61A3F2"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0.128045</w:t>
            </w:r>
          </w:p>
        </w:tc>
        <w:tc>
          <w:tcPr>
            <w:tcW w:w="1980" w:type="dxa"/>
          </w:tcPr>
          <w:p w14:paraId="2D3CBF2D" w14:textId="4BD37699"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1.50304</w:t>
            </w:r>
          </w:p>
        </w:tc>
        <w:tc>
          <w:tcPr>
            <w:tcW w:w="1435" w:type="dxa"/>
          </w:tcPr>
          <w:p w14:paraId="45DB3A9A" w14:textId="15106454"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0.16587</w:t>
            </w:r>
          </w:p>
        </w:tc>
      </w:tr>
      <w:tr w:rsidR="00AB69EA" w:rsidRPr="00AB69EA" w14:paraId="00D0ACA9" w14:textId="77777777" w:rsidTr="00AB69EA">
        <w:tc>
          <w:tcPr>
            <w:tcW w:w="1557" w:type="dxa"/>
          </w:tcPr>
          <w:p w14:paraId="479D399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2025</w:t>
            </w:r>
          </w:p>
        </w:tc>
        <w:tc>
          <w:tcPr>
            <w:tcW w:w="1558" w:type="dxa"/>
          </w:tcPr>
          <w:p w14:paraId="75B6549A"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0.0134</w:t>
            </w:r>
          </w:p>
        </w:tc>
        <w:tc>
          <w:tcPr>
            <w:tcW w:w="1200" w:type="dxa"/>
          </w:tcPr>
          <w:p w14:paraId="6ED88B7B"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380</w:t>
            </w:r>
          </w:p>
        </w:tc>
        <w:tc>
          <w:tcPr>
            <w:tcW w:w="1620" w:type="dxa"/>
          </w:tcPr>
          <w:p w14:paraId="3C1BE901" w14:textId="77777777"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0.188999</w:t>
            </w:r>
          </w:p>
        </w:tc>
        <w:tc>
          <w:tcPr>
            <w:tcW w:w="1980" w:type="dxa"/>
          </w:tcPr>
          <w:p w14:paraId="37E77894" w14:textId="0A79A07B"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-1.03244</w:t>
            </w:r>
          </w:p>
        </w:tc>
        <w:tc>
          <w:tcPr>
            <w:tcW w:w="1435" w:type="dxa"/>
          </w:tcPr>
          <w:p w14:paraId="15C6A5BB" w14:textId="75DF1471" w:rsidR="00AB69EA" w:rsidRPr="00AB69EA" w:rsidRDefault="00AB69EA" w:rsidP="00AB69EA">
            <w:pPr>
              <w:jc w:val="right"/>
              <w:rPr>
                <w:rFonts w:ascii="Calibri" w:eastAsia="Calibri" w:hAnsi="Calibri" w:cs="Calibri"/>
                <w:sz w:val="24"/>
                <w:szCs w:val="24"/>
                <w:lang w:val="en-US"/>
              </w:rPr>
            </w:pPr>
            <w:r w:rsidRPr="00AB69EA">
              <w:rPr>
                <w:rFonts w:ascii="Calibri" w:eastAsia="Calibri" w:hAnsi="Calibri" w:cs="Calibri"/>
                <w:sz w:val="24"/>
                <w:szCs w:val="24"/>
                <w:lang w:val="en-US"/>
              </w:rPr>
              <w:t>0.12421</w:t>
            </w:r>
          </w:p>
        </w:tc>
      </w:tr>
    </w:tbl>
    <w:p w14:paraId="02FCD7C6" w14:textId="77777777" w:rsidR="0095295B" w:rsidRDefault="0095295B" w:rsidP="008E033D">
      <w:pPr>
        <w:rPr>
          <w:rFonts w:ascii="Calibri" w:eastAsia="Calibri" w:hAnsi="Calibri" w:cs="Calibri"/>
          <w:sz w:val="24"/>
          <w:szCs w:val="24"/>
          <w:lang w:val="en-US"/>
        </w:rPr>
      </w:pPr>
    </w:p>
    <w:p w14:paraId="6E29AA17" w14:textId="020C66F7" w:rsidR="00AB69EA" w:rsidRDefault="00AB69EA" w:rsidP="008E033D">
      <w:pPr>
        <w:rPr>
          <w:rFonts w:ascii="Calibri" w:eastAsia="Calibri" w:hAnsi="Calibri" w:cs="Calibri"/>
          <w:sz w:val="24"/>
          <w:szCs w:val="24"/>
          <w:lang w:val="en-US"/>
        </w:rPr>
      </w:pPr>
      <w:r>
        <w:rPr>
          <w:rFonts w:ascii="Calibri" w:eastAsia="Calibri" w:hAnsi="Calibri" w:cs="Calibri"/>
          <w:sz w:val="24"/>
          <w:szCs w:val="24"/>
          <w:lang w:val="en-US"/>
        </w:rPr>
        <w:t>INTERPRETATION:</w:t>
      </w:r>
    </w:p>
    <w:p w14:paraId="3CC817DD" w14:textId="7E1BDA95" w:rsidR="00AB69EA" w:rsidRDefault="00AB69EA" w:rsidP="008E033D">
      <w:pPr>
        <w:rPr>
          <w:rFonts w:ascii="Calibri" w:eastAsia="Calibri" w:hAnsi="Calibri" w:cs="Calibri"/>
          <w:sz w:val="24"/>
          <w:szCs w:val="24"/>
          <w:lang w:val="en-US"/>
        </w:rPr>
      </w:pPr>
      <w:r>
        <w:rPr>
          <w:rFonts w:ascii="Calibri" w:eastAsia="Calibri" w:hAnsi="Calibri" w:cs="Calibri"/>
          <w:sz w:val="24"/>
          <w:szCs w:val="24"/>
          <w:lang w:val="en-US"/>
        </w:rPr>
        <w:t xml:space="preserve">A leverage value beyond 4/n=4/8=0.5 is considered mildly unusual and beyond 6/n=6/8=0.75 is more extreme.  We see that the data for 2017 with a leverage value of 0.833 should be flagged as an extreme leverage value. </w:t>
      </w:r>
    </w:p>
    <w:p w14:paraId="6DDB6C59" w14:textId="77777777" w:rsidR="00AB69EA" w:rsidRDefault="00AB69EA" w:rsidP="008E033D">
      <w:pPr>
        <w:rPr>
          <w:rFonts w:ascii="Calibri" w:eastAsia="Calibri" w:hAnsi="Calibri" w:cs="Calibri"/>
          <w:sz w:val="24"/>
          <w:szCs w:val="24"/>
          <w:lang w:val="en-US"/>
        </w:rPr>
      </w:pPr>
    </w:p>
    <w:p w14:paraId="2DF20F71" w14:textId="4834DDFD" w:rsidR="0095295B" w:rsidRDefault="00AB69EA" w:rsidP="008E033D">
      <w:pPr>
        <w:rPr>
          <w:rFonts w:ascii="Calibri" w:eastAsia="Calibri" w:hAnsi="Calibri" w:cs="Calibri"/>
          <w:sz w:val="24"/>
          <w:szCs w:val="24"/>
          <w:lang w:val="en-US"/>
        </w:rPr>
      </w:pPr>
      <w:r>
        <w:rPr>
          <w:rFonts w:ascii="Calibri" w:eastAsia="Calibri" w:hAnsi="Calibri" w:cs="Calibri"/>
          <w:sz w:val="24"/>
          <w:szCs w:val="24"/>
          <w:lang w:val="en-US"/>
        </w:rPr>
        <w:t xml:space="preserve">A standardized residual value beyond </w:t>
      </w:r>
      <m:oMath>
        <m:r>
          <w:rPr>
            <w:rFonts w:ascii="Cambria Math" w:eastAsia="Calibri" w:hAnsi="Cambria Math" w:cs="Calibri"/>
            <w:sz w:val="24"/>
            <w:szCs w:val="24"/>
            <w:lang w:val="en-US"/>
          </w:rPr>
          <m:t>±2</m:t>
        </m:r>
      </m:oMath>
      <w:r>
        <w:rPr>
          <w:rFonts w:ascii="Calibri" w:eastAsia="Calibri" w:hAnsi="Calibri" w:cs="Calibri"/>
          <w:sz w:val="24"/>
          <w:szCs w:val="24"/>
          <w:lang w:val="en-US"/>
        </w:rPr>
        <w:t xml:space="preserve"> is mildly unusual and beyond </w:t>
      </w:r>
      <m:oMath>
        <m:r>
          <w:rPr>
            <w:rFonts w:ascii="Cambria Math" w:eastAsia="Calibri" w:hAnsi="Cambria Math" w:cs="Calibri"/>
            <w:sz w:val="24"/>
            <w:szCs w:val="24"/>
            <w:lang w:val="en-US"/>
          </w:rPr>
          <m:t>±3</m:t>
        </m:r>
      </m:oMath>
      <w:r>
        <w:rPr>
          <w:rFonts w:ascii="Calibri" w:eastAsia="Calibri" w:hAnsi="Calibri" w:cs="Calibri"/>
          <w:sz w:val="24"/>
          <w:szCs w:val="24"/>
          <w:lang w:val="en-US"/>
        </w:rPr>
        <w:t xml:space="preserve"> is more extreme.  None of the standardized residuals are beyond those thresholds, although </w:t>
      </w:r>
      <w:r w:rsidR="005F2FA8">
        <w:rPr>
          <w:rFonts w:ascii="Calibri" w:eastAsia="Calibri" w:hAnsi="Calibri" w:cs="Calibri"/>
          <w:sz w:val="24"/>
          <w:szCs w:val="24"/>
          <w:lang w:val="en-US"/>
        </w:rPr>
        <w:t>the value -1.99923 value for 2017 is very close!</w:t>
      </w:r>
    </w:p>
    <w:p w14:paraId="5F15BD3A" w14:textId="77777777" w:rsidR="00AB69EA" w:rsidRDefault="00AB69EA" w:rsidP="008E033D">
      <w:pPr>
        <w:rPr>
          <w:rFonts w:ascii="Calibri" w:eastAsia="Calibri" w:hAnsi="Calibri" w:cs="Calibri"/>
          <w:sz w:val="24"/>
          <w:szCs w:val="24"/>
          <w:lang w:val="en-US"/>
        </w:rPr>
      </w:pPr>
    </w:p>
    <w:p w14:paraId="1ED58ED7" w14:textId="36C1B762" w:rsidR="005F2FA8" w:rsidRDefault="005F2FA8" w:rsidP="008E033D">
      <w:pPr>
        <w:rPr>
          <w:rFonts w:ascii="Calibri" w:eastAsia="Calibri" w:hAnsi="Calibri" w:cs="Calibri"/>
          <w:sz w:val="24"/>
          <w:szCs w:val="24"/>
          <w:lang w:val="en-US"/>
        </w:rPr>
      </w:pPr>
      <w:r>
        <w:rPr>
          <w:rFonts w:ascii="Calibri" w:eastAsia="Calibri" w:hAnsi="Calibri" w:cs="Calibri"/>
          <w:sz w:val="24"/>
          <w:szCs w:val="24"/>
          <w:lang w:val="en-US"/>
        </w:rPr>
        <w:t xml:space="preserve">Values of Cook’s D beyond 0.5 are </w:t>
      </w:r>
      <w:r w:rsidR="007217E1">
        <w:rPr>
          <w:rFonts w:ascii="Calibri" w:eastAsia="Calibri" w:hAnsi="Calibri" w:cs="Calibri"/>
          <w:sz w:val="24"/>
          <w:szCs w:val="24"/>
          <w:lang w:val="en-US"/>
        </w:rPr>
        <w:t xml:space="preserve">considered </w:t>
      </w:r>
      <w:r>
        <w:rPr>
          <w:rFonts w:ascii="Calibri" w:eastAsia="Calibri" w:hAnsi="Calibri" w:cs="Calibri"/>
          <w:sz w:val="24"/>
          <w:szCs w:val="24"/>
          <w:lang w:val="en-US"/>
        </w:rPr>
        <w:t xml:space="preserve">mildly unusual and beyond 1 are more extreme.  The Cook’s D value of just under 10.0 for 2017 would be very extreme. </w:t>
      </w:r>
    </w:p>
    <w:p w14:paraId="00CF561D" w14:textId="227CE694" w:rsidR="005F2FA8" w:rsidRDefault="005F2FA8">
      <w:pPr>
        <w:rPr>
          <w:rFonts w:ascii="Calibri" w:eastAsia="Calibri" w:hAnsi="Calibri" w:cs="Calibri"/>
          <w:sz w:val="24"/>
          <w:szCs w:val="24"/>
          <w:lang w:val="en-US"/>
        </w:rPr>
      </w:pPr>
      <w:r>
        <w:rPr>
          <w:rFonts w:ascii="Calibri" w:eastAsia="Calibri" w:hAnsi="Calibri" w:cs="Calibri"/>
          <w:sz w:val="24"/>
          <w:szCs w:val="24"/>
          <w:lang w:val="en-US"/>
        </w:rPr>
        <w:br w:type="page"/>
      </w:r>
    </w:p>
    <w:p w14:paraId="579EDFC2" w14:textId="77777777" w:rsidR="005F2FA8" w:rsidRPr="005F2FA8" w:rsidRDefault="005F2FA8" w:rsidP="005F2FA8">
      <w:pPr>
        <w:rPr>
          <w:rFonts w:ascii="Calibri" w:eastAsia="Calibri" w:hAnsi="Calibri" w:cs="Calibri"/>
          <w:b/>
          <w:bCs/>
          <w:sz w:val="24"/>
          <w:szCs w:val="24"/>
          <w:lang w:val="en-US"/>
        </w:rPr>
      </w:pPr>
      <w:r w:rsidRPr="005F2FA8">
        <w:rPr>
          <w:rFonts w:ascii="Calibri" w:eastAsia="Calibri" w:hAnsi="Calibri" w:cs="Calibri"/>
          <w:b/>
          <w:bCs/>
          <w:sz w:val="24"/>
          <w:szCs w:val="24"/>
          <w:lang w:val="en-US"/>
        </w:rPr>
        <w:lastRenderedPageBreak/>
        <w:t>Consider the outlier</w:t>
      </w:r>
    </w:p>
    <w:p w14:paraId="04FAF264" w14:textId="06D549E3" w:rsidR="005F2FA8" w:rsidRPr="005F2FA8" w:rsidRDefault="005F2FA8" w:rsidP="005F2FA8">
      <w:pPr>
        <w:rPr>
          <w:rFonts w:ascii="Calibri" w:eastAsia="Calibri" w:hAnsi="Calibri" w:cs="Calibri"/>
          <w:sz w:val="24"/>
          <w:szCs w:val="24"/>
          <w:lang w:val="en-US"/>
        </w:rPr>
      </w:pPr>
      <w:r>
        <w:rPr>
          <w:noProof/>
          <w:lang w:val="en-US"/>
        </w:rPr>
        <w:drawing>
          <wp:anchor distT="57150" distB="57150" distL="57150" distR="57150" simplePos="0" relativeHeight="251658240" behindDoc="0" locked="0" layoutInCell="1" hidden="0" allowOverlap="1" wp14:anchorId="6DC0FD42" wp14:editId="2653ED93">
            <wp:simplePos x="0" y="0"/>
            <wp:positionH relativeFrom="column">
              <wp:posOffset>3308801</wp:posOffset>
            </wp:positionH>
            <wp:positionV relativeFrom="paragraph">
              <wp:posOffset>60919</wp:posOffset>
            </wp:positionV>
            <wp:extent cx="3078480" cy="2053590"/>
            <wp:effectExtent l="0" t="0" r="7620" b="3810"/>
            <wp:wrapSquare wrapText="bothSides" distT="57150" distB="57150" distL="57150" distR="57150"/>
            <wp:docPr id="1" name="image1.png" descr="Map of the Raisin River"/>
            <wp:cNvGraphicFramePr/>
            <a:graphic xmlns:a="http://schemas.openxmlformats.org/drawingml/2006/main">
              <a:graphicData uri="http://schemas.openxmlformats.org/drawingml/2006/picture">
                <pic:pic xmlns:pic="http://schemas.openxmlformats.org/drawingml/2006/picture">
                  <pic:nvPicPr>
                    <pic:cNvPr id="0" name="image1.png" descr="Map of the Raisin River"/>
                    <pic:cNvPicPr preferRelativeResize="0"/>
                  </pic:nvPicPr>
                  <pic:blipFill>
                    <a:blip r:embed="rId6"/>
                    <a:srcRect/>
                    <a:stretch>
                      <a:fillRect/>
                    </a:stretch>
                  </pic:blipFill>
                  <pic:spPr>
                    <a:xfrm>
                      <a:off x="0" y="0"/>
                      <a:ext cx="3078480" cy="2053590"/>
                    </a:xfrm>
                    <a:prstGeom prst="rect">
                      <a:avLst/>
                    </a:prstGeom>
                    <a:ln/>
                  </pic:spPr>
                </pic:pic>
              </a:graphicData>
            </a:graphic>
            <wp14:sizeRelH relativeFrom="margin">
              <wp14:pctWidth>0</wp14:pctWidth>
            </wp14:sizeRelH>
            <wp14:sizeRelV relativeFrom="margin">
              <wp14:pctHeight>0</wp14:pctHeight>
            </wp14:sizeRelV>
          </wp:anchor>
        </w:drawing>
      </w:r>
      <w:r w:rsidRPr="005F2FA8">
        <w:rPr>
          <w:rFonts w:ascii="Calibri" w:eastAsia="Calibri" w:hAnsi="Calibri" w:cs="Calibri"/>
          <w:sz w:val="24"/>
          <w:szCs w:val="24"/>
          <w:lang w:val="en-US"/>
        </w:rPr>
        <w:t>Your analysis from #3 should show that the 2017 race with a flow rate of 2649 ft3/sec and 0.0051 DNF proportion is unusual. While we shouldn’t automatically exclude any unusual case, we should investigate, when possible, to see if there are circumstances that might warrant dropping that case. In this situation, the water level was dangerously high in 2017, causing the race officials to move the race start to Delaney Road (roughly 4 miles further down the river – see the map). Based on that domain knowledge, we should consider re-doing the analysis without the 2017 data.</w:t>
      </w:r>
    </w:p>
    <w:p w14:paraId="58299CEF" w14:textId="21F2F4E2" w:rsidR="005F2FA8" w:rsidRDefault="005F2FA8" w:rsidP="008E033D">
      <w:pPr>
        <w:rPr>
          <w:rFonts w:ascii="Calibri" w:eastAsia="Calibri" w:hAnsi="Calibri" w:cs="Calibri"/>
          <w:sz w:val="24"/>
          <w:szCs w:val="24"/>
          <w:lang w:val="en-US"/>
        </w:rPr>
      </w:pPr>
    </w:p>
    <w:p w14:paraId="0137F795" w14:textId="77777777" w:rsidR="007B273F" w:rsidRPr="007B273F" w:rsidRDefault="007B273F" w:rsidP="007B273F">
      <w:pPr>
        <w:rPr>
          <w:rFonts w:ascii="Calibri" w:eastAsia="Calibri" w:hAnsi="Calibri" w:cs="Calibri"/>
          <w:b/>
          <w:bCs/>
          <w:sz w:val="24"/>
          <w:szCs w:val="24"/>
          <w:lang w:val="en-US"/>
        </w:rPr>
      </w:pPr>
      <w:r w:rsidRPr="007B273F">
        <w:rPr>
          <w:rFonts w:ascii="Calibri" w:eastAsia="Calibri" w:hAnsi="Calibri" w:cs="Calibri"/>
          <w:b/>
          <w:bCs/>
          <w:sz w:val="24"/>
          <w:szCs w:val="24"/>
          <w:lang w:val="en-US"/>
        </w:rPr>
        <w:t>4. Remove the influential (2017) observation from the data set.</w:t>
      </w:r>
    </w:p>
    <w:p w14:paraId="60C22DA5" w14:textId="77777777" w:rsidR="00AB69EA" w:rsidRDefault="00AB69EA" w:rsidP="008E033D">
      <w:pPr>
        <w:rPr>
          <w:rFonts w:ascii="Calibri" w:eastAsia="Calibri" w:hAnsi="Calibri" w:cs="Calibri"/>
          <w:sz w:val="24"/>
          <w:szCs w:val="24"/>
          <w:lang w:val="en-US"/>
        </w:rPr>
      </w:pPr>
    </w:p>
    <w:p w14:paraId="36765190" w14:textId="77777777" w:rsidR="007B273F" w:rsidRPr="007B273F" w:rsidRDefault="007B273F" w:rsidP="007B273F">
      <w:pPr>
        <w:rPr>
          <w:rFonts w:ascii="Calibri" w:eastAsia="Calibri" w:hAnsi="Calibri" w:cs="Calibri"/>
          <w:b/>
          <w:bCs/>
          <w:sz w:val="24"/>
          <w:szCs w:val="24"/>
          <w:lang w:val="en-US"/>
        </w:rPr>
      </w:pPr>
      <w:r w:rsidRPr="007B273F">
        <w:rPr>
          <w:rFonts w:ascii="Calibri" w:eastAsia="Calibri" w:hAnsi="Calibri" w:cs="Calibri"/>
          <w:b/>
          <w:bCs/>
          <w:sz w:val="24"/>
          <w:szCs w:val="24"/>
          <w:lang w:val="en-US"/>
        </w:rPr>
        <w:t>a) Draw a new scatterplot and show the revised line of best fit. How does this plot compare to the earlier fit?</w:t>
      </w:r>
    </w:p>
    <w:p w14:paraId="5293A7C3" w14:textId="3E0BA118" w:rsidR="007B273F" w:rsidRDefault="007B273F" w:rsidP="007B273F">
      <w:pPr>
        <w:rPr>
          <w:rFonts w:ascii="Calibri" w:eastAsia="Calibri" w:hAnsi="Calibri" w:cs="Calibri"/>
          <w:sz w:val="24"/>
          <w:szCs w:val="24"/>
        </w:rPr>
      </w:pPr>
      <w:r>
        <w:rPr>
          <w:rFonts w:ascii="Calibri" w:eastAsia="Calibri" w:hAnsi="Calibri" w:cs="Calibri"/>
          <w:sz w:val="24"/>
          <w:szCs w:val="24"/>
          <w:lang w:val="en-US"/>
        </w:rPr>
        <w:t>Here is</w:t>
      </w:r>
      <w:r>
        <w:rPr>
          <w:rFonts w:ascii="Calibri" w:eastAsia="Calibri" w:hAnsi="Calibri" w:cs="Calibri"/>
          <w:sz w:val="24"/>
          <w:szCs w:val="24"/>
        </w:rPr>
        <w:t xml:space="preserve"> a scatterplot with the regression line to predict proportion of DNF using flow rate </w:t>
      </w:r>
      <w:r>
        <w:rPr>
          <w:rFonts w:ascii="Calibri" w:eastAsia="Calibri" w:hAnsi="Calibri" w:cs="Calibri"/>
          <w:sz w:val="24"/>
          <w:szCs w:val="24"/>
        </w:rPr>
        <w:t>after deleting the data from 2017:</w:t>
      </w:r>
    </w:p>
    <w:p w14:paraId="4B3A2750" w14:textId="1EA4C96B" w:rsidR="007B273F" w:rsidRDefault="005A6AEC" w:rsidP="005A6AEC">
      <w:pPr>
        <w:jc w:val="center"/>
        <w:rPr>
          <w:rFonts w:ascii="Calibri" w:eastAsia="Calibri" w:hAnsi="Calibri" w:cs="Calibri"/>
          <w:sz w:val="24"/>
          <w:szCs w:val="24"/>
        </w:rPr>
      </w:pPr>
      <w:r w:rsidRPr="005A6AEC">
        <w:rPr>
          <w:rFonts w:ascii="Calibri" w:eastAsia="Calibri" w:hAnsi="Calibri" w:cs="Calibri"/>
          <w:sz w:val="24"/>
          <w:szCs w:val="24"/>
        </w:rPr>
        <w:drawing>
          <wp:inline distT="0" distB="0" distL="0" distR="0" wp14:anchorId="32CFD820" wp14:editId="6AA31DB0">
            <wp:extent cx="3277057" cy="2486372"/>
            <wp:effectExtent l="0" t="0" r="0" b="9525"/>
            <wp:docPr id="144776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63585" name=""/>
                    <pic:cNvPicPr/>
                  </pic:nvPicPr>
                  <pic:blipFill>
                    <a:blip r:embed="rId7"/>
                    <a:stretch>
                      <a:fillRect/>
                    </a:stretch>
                  </pic:blipFill>
                  <pic:spPr>
                    <a:xfrm>
                      <a:off x="0" y="0"/>
                      <a:ext cx="3277057" cy="2486372"/>
                    </a:xfrm>
                    <a:prstGeom prst="rect">
                      <a:avLst/>
                    </a:prstGeom>
                  </pic:spPr>
                </pic:pic>
              </a:graphicData>
            </a:graphic>
          </wp:inline>
        </w:drawing>
      </w:r>
    </w:p>
    <w:p w14:paraId="74AA4B4C" w14:textId="0BD3279B" w:rsidR="00AB69EA" w:rsidRPr="007B273F" w:rsidRDefault="00897DA4" w:rsidP="008E033D">
      <w:pPr>
        <w:rPr>
          <w:rFonts w:ascii="Calibri" w:eastAsia="Calibri" w:hAnsi="Calibri" w:cs="Calibri"/>
          <w:sz w:val="24"/>
          <w:szCs w:val="24"/>
        </w:rPr>
      </w:pPr>
      <w:r w:rsidRPr="00897DA4">
        <w:rPr>
          <w:rFonts w:ascii="Calibri" w:eastAsia="Calibri" w:hAnsi="Calibri" w:cs="Calibri"/>
          <w:sz w:val="24"/>
          <w:szCs w:val="24"/>
        </w:rPr>
        <w:t>With the 2017 data point omitted, we see a positive association between the flow rate and proportion of DNF.</w:t>
      </w:r>
    </w:p>
    <w:p w14:paraId="4EB58EED" w14:textId="6CC5CC61" w:rsidR="00897DA4" w:rsidRDefault="00897DA4">
      <w:pPr>
        <w:rPr>
          <w:rFonts w:ascii="Calibri" w:eastAsia="Calibri" w:hAnsi="Calibri" w:cs="Calibri"/>
          <w:sz w:val="24"/>
          <w:szCs w:val="24"/>
          <w:lang w:val="en-US"/>
        </w:rPr>
      </w:pPr>
      <w:r>
        <w:rPr>
          <w:rFonts w:ascii="Calibri" w:eastAsia="Calibri" w:hAnsi="Calibri" w:cs="Calibri"/>
          <w:sz w:val="24"/>
          <w:szCs w:val="24"/>
          <w:lang w:val="en-US"/>
        </w:rPr>
        <w:br w:type="page"/>
      </w:r>
    </w:p>
    <w:p w14:paraId="7B3E8FDC" w14:textId="77777777" w:rsidR="005A6AEC" w:rsidRDefault="005A6AEC" w:rsidP="005A6AEC">
      <w:pPr>
        <w:rPr>
          <w:rFonts w:ascii="Calibri" w:eastAsia="Calibri" w:hAnsi="Calibri" w:cs="Calibri"/>
          <w:sz w:val="24"/>
          <w:szCs w:val="24"/>
          <w:lang w:val="en-US"/>
        </w:rPr>
      </w:pPr>
    </w:p>
    <w:p w14:paraId="58DC4BB9" w14:textId="77777777" w:rsidR="00897DA4" w:rsidRPr="00897DA4" w:rsidRDefault="00897DA4" w:rsidP="00897DA4">
      <w:pPr>
        <w:rPr>
          <w:rFonts w:ascii="Calibri" w:eastAsia="Calibri" w:hAnsi="Calibri" w:cs="Calibri"/>
          <w:b/>
          <w:bCs/>
          <w:sz w:val="24"/>
          <w:szCs w:val="24"/>
          <w:lang w:val="en-US"/>
        </w:rPr>
      </w:pPr>
      <w:r w:rsidRPr="00897DA4">
        <w:rPr>
          <w:rFonts w:ascii="Calibri" w:eastAsia="Calibri" w:hAnsi="Calibri" w:cs="Calibri"/>
          <w:b/>
          <w:bCs/>
          <w:sz w:val="24"/>
          <w:szCs w:val="24"/>
          <w:lang w:val="en-US"/>
        </w:rPr>
        <w:t>b) Give a revised interpretation for the fitted slope (in context) and discuss the effectiveness of flow as a predictor for proportion DNF in the absence of the 2017 outlier.</w:t>
      </w:r>
    </w:p>
    <w:p w14:paraId="180E6210" w14:textId="77777777" w:rsidR="00897DA4" w:rsidRDefault="00897DA4" w:rsidP="005A6AEC">
      <w:pPr>
        <w:rPr>
          <w:rFonts w:ascii="Calibri" w:eastAsia="Calibri" w:hAnsi="Calibri" w:cs="Calibri"/>
          <w:sz w:val="24"/>
          <w:szCs w:val="24"/>
          <w:lang w:val="en-US"/>
        </w:rPr>
      </w:pPr>
    </w:p>
    <w:p w14:paraId="6F439F07" w14:textId="2688BD37" w:rsidR="00897DA4" w:rsidRDefault="00897DA4" w:rsidP="005A6AEC">
      <w:pPr>
        <w:rPr>
          <w:rFonts w:ascii="Calibri" w:eastAsia="Calibri" w:hAnsi="Calibri" w:cs="Calibri"/>
          <w:sz w:val="24"/>
          <w:szCs w:val="24"/>
          <w:lang w:val="en-US"/>
        </w:rPr>
      </w:pPr>
      <w:r>
        <w:rPr>
          <w:rFonts w:ascii="Calibri" w:eastAsia="Calibri" w:hAnsi="Calibri" w:cs="Calibri"/>
          <w:sz w:val="24"/>
          <w:szCs w:val="24"/>
          <w:lang w:val="en-US"/>
        </w:rPr>
        <w:t>Here is some output for fitting the regression model after the data for 2017 is deleted:</w:t>
      </w:r>
    </w:p>
    <w:p w14:paraId="4784AABC" w14:textId="77777777" w:rsidR="00897DA4" w:rsidRDefault="00897DA4" w:rsidP="005A6AEC">
      <w:pPr>
        <w:rPr>
          <w:rFonts w:ascii="Calibri" w:eastAsia="Calibri" w:hAnsi="Calibri" w:cs="Calibri"/>
          <w:sz w:val="24"/>
          <w:szCs w:val="24"/>
          <w:lang w:val="en-US"/>
        </w:rPr>
      </w:pPr>
    </w:p>
    <w:tbl>
      <w:tblPr>
        <w:tblW w:w="0" w:type="auto"/>
        <w:jc w:val="center"/>
        <w:tblLayout w:type="fixed"/>
        <w:tblCellMar>
          <w:left w:w="40" w:type="dxa"/>
          <w:right w:w="40" w:type="dxa"/>
        </w:tblCellMar>
        <w:tblLook w:val="0000" w:firstRow="0" w:lastRow="0" w:firstColumn="0" w:lastColumn="0" w:noHBand="0" w:noVBand="0"/>
      </w:tblPr>
      <w:tblGrid>
        <w:gridCol w:w="1210"/>
        <w:gridCol w:w="1490"/>
        <w:gridCol w:w="1350"/>
        <w:gridCol w:w="1170"/>
        <w:gridCol w:w="1300"/>
      </w:tblGrid>
      <w:tr w:rsidR="005A6AEC" w:rsidRPr="005A6AEC" w14:paraId="2B73E893" w14:textId="77777777" w:rsidTr="005A6AEC">
        <w:tblPrEx>
          <w:tblCellMar>
            <w:top w:w="0" w:type="dxa"/>
            <w:bottom w:w="0" w:type="dxa"/>
          </w:tblCellMar>
        </w:tblPrEx>
        <w:trPr>
          <w:trHeight w:val="337"/>
          <w:tblHeader/>
          <w:jc w:val="center"/>
        </w:trPr>
        <w:tc>
          <w:tcPr>
            <w:tcW w:w="1210" w:type="dxa"/>
            <w:tcBorders>
              <w:top w:val="nil"/>
              <w:left w:val="nil"/>
              <w:bottom w:val="nil"/>
              <w:right w:val="nil"/>
            </w:tcBorders>
            <w:shd w:val="clear" w:color="auto" w:fill="D9D9D9"/>
          </w:tcPr>
          <w:p w14:paraId="2638F058" w14:textId="77777777" w:rsidR="005A6AEC" w:rsidRPr="005A6AEC" w:rsidRDefault="005A6AEC" w:rsidP="005A6AEC">
            <w:pPr>
              <w:rPr>
                <w:rFonts w:ascii="Calibri" w:eastAsia="Calibri" w:hAnsi="Calibri" w:cs="Calibri"/>
                <w:b/>
                <w:bCs/>
                <w:sz w:val="24"/>
                <w:szCs w:val="24"/>
                <w:lang w:val="en-US"/>
              </w:rPr>
            </w:pPr>
            <w:r w:rsidRPr="005A6AEC">
              <w:rPr>
                <w:rFonts w:ascii="Calibri" w:eastAsia="Calibri" w:hAnsi="Calibri" w:cs="Calibri"/>
                <w:b/>
                <w:bCs/>
                <w:sz w:val="24"/>
                <w:szCs w:val="24"/>
                <w:lang w:val="en-US"/>
              </w:rPr>
              <w:t>Term</w:t>
            </w:r>
          </w:p>
        </w:tc>
        <w:tc>
          <w:tcPr>
            <w:tcW w:w="1490" w:type="dxa"/>
            <w:tcBorders>
              <w:top w:val="nil"/>
              <w:left w:val="nil"/>
              <w:bottom w:val="nil"/>
              <w:right w:val="nil"/>
            </w:tcBorders>
            <w:shd w:val="clear" w:color="auto" w:fill="D9D9D9"/>
          </w:tcPr>
          <w:p w14:paraId="71691610" w14:textId="77777777" w:rsidR="005A6AEC" w:rsidRPr="005A6AEC" w:rsidRDefault="005A6AEC" w:rsidP="005A6AEC">
            <w:pPr>
              <w:rPr>
                <w:rFonts w:ascii="Calibri" w:eastAsia="Calibri" w:hAnsi="Calibri" w:cs="Calibri"/>
                <w:b/>
                <w:bCs/>
                <w:sz w:val="24"/>
                <w:szCs w:val="24"/>
                <w:lang w:val="en-US"/>
              </w:rPr>
            </w:pPr>
            <w:r w:rsidRPr="005A6AEC">
              <w:rPr>
                <w:rFonts w:ascii="Calibri" w:eastAsia="Calibri" w:hAnsi="Calibri" w:cs="Calibri"/>
                <w:b/>
                <w:bCs/>
                <w:sz w:val="24"/>
                <w:szCs w:val="24"/>
                <w:lang w:val="en-US"/>
              </w:rPr>
              <w:t>Estimate</w:t>
            </w:r>
          </w:p>
        </w:tc>
        <w:tc>
          <w:tcPr>
            <w:tcW w:w="1350" w:type="dxa"/>
            <w:tcBorders>
              <w:top w:val="nil"/>
              <w:left w:val="nil"/>
              <w:bottom w:val="nil"/>
              <w:right w:val="nil"/>
            </w:tcBorders>
            <w:shd w:val="clear" w:color="auto" w:fill="D9D9D9"/>
          </w:tcPr>
          <w:p w14:paraId="6780698F" w14:textId="77777777" w:rsidR="005A6AEC" w:rsidRPr="005A6AEC" w:rsidRDefault="005A6AEC" w:rsidP="005A6AEC">
            <w:pPr>
              <w:rPr>
                <w:rFonts w:ascii="Calibri" w:eastAsia="Calibri" w:hAnsi="Calibri" w:cs="Calibri"/>
                <w:b/>
                <w:bCs/>
                <w:sz w:val="24"/>
                <w:szCs w:val="24"/>
                <w:lang w:val="en-US"/>
              </w:rPr>
            </w:pPr>
            <w:r w:rsidRPr="005A6AEC">
              <w:rPr>
                <w:rFonts w:ascii="Calibri" w:eastAsia="Calibri" w:hAnsi="Calibri" w:cs="Calibri"/>
                <w:b/>
                <w:bCs/>
                <w:sz w:val="24"/>
                <w:szCs w:val="24"/>
                <w:lang w:val="en-US"/>
              </w:rPr>
              <w:t>Std Error</w:t>
            </w:r>
          </w:p>
        </w:tc>
        <w:tc>
          <w:tcPr>
            <w:tcW w:w="1170" w:type="dxa"/>
            <w:tcBorders>
              <w:top w:val="nil"/>
              <w:left w:val="nil"/>
              <w:bottom w:val="nil"/>
              <w:right w:val="nil"/>
            </w:tcBorders>
            <w:shd w:val="clear" w:color="auto" w:fill="D9D9D9"/>
          </w:tcPr>
          <w:p w14:paraId="445E75A1" w14:textId="77777777" w:rsidR="005A6AEC" w:rsidRPr="005A6AEC" w:rsidRDefault="005A6AEC" w:rsidP="005A6AEC">
            <w:pPr>
              <w:rPr>
                <w:rFonts w:ascii="Calibri" w:eastAsia="Calibri" w:hAnsi="Calibri" w:cs="Calibri"/>
                <w:b/>
                <w:bCs/>
                <w:sz w:val="24"/>
                <w:szCs w:val="24"/>
                <w:lang w:val="en-US"/>
              </w:rPr>
            </w:pPr>
            <w:r w:rsidRPr="005A6AEC">
              <w:rPr>
                <w:rFonts w:ascii="Calibri" w:eastAsia="Calibri" w:hAnsi="Calibri" w:cs="Calibri"/>
                <w:b/>
                <w:bCs/>
                <w:sz w:val="24"/>
                <w:szCs w:val="24"/>
                <w:lang w:val="en-US"/>
              </w:rPr>
              <w:t>t Ratio</w:t>
            </w:r>
          </w:p>
        </w:tc>
        <w:tc>
          <w:tcPr>
            <w:tcW w:w="1300" w:type="dxa"/>
            <w:tcBorders>
              <w:top w:val="nil"/>
              <w:left w:val="nil"/>
              <w:bottom w:val="nil"/>
              <w:right w:val="nil"/>
            </w:tcBorders>
            <w:shd w:val="clear" w:color="auto" w:fill="D9D9D9"/>
          </w:tcPr>
          <w:p w14:paraId="76D383CB" w14:textId="77777777" w:rsidR="005A6AEC" w:rsidRPr="005A6AEC" w:rsidRDefault="005A6AEC" w:rsidP="005A6AEC">
            <w:pPr>
              <w:rPr>
                <w:rFonts w:ascii="Calibri" w:eastAsia="Calibri" w:hAnsi="Calibri" w:cs="Calibri"/>
                <w:b/>
                <w:bCs/>
                <w:sz w:val="24"/>
                <w:szCs w:val="24"/>
                <w:lang w:val="en-US"/>
              </w:rPr>
            </w:pPr>
            <w:r w:rsidRPr="005A6AEC">
              <w:rPr>
                <w:rFonts w:ascii="Calibri" w:eastAsia="Calibri" w:hAnsi="Calibri" w:cs="Calibri"/>
                <w:b/>
                <w:bCs/>
                <w:sz w:val="24"/>
                <w:szCs w:val="24"/>
                <w:lang w:val="en-US"/>
              </w:rPr>
              <w:t>Prob&gt;|t|</w:t>
            </w:r>
          </w:p>
        </w:tc>
      </w:tr>
      <w:tr w:rsidR="005A6AEC" w:rsidRPr="005A6AEC" w14:paraId="52F03867" w14:textId="77777777" w:rsidTr="005A6AEC">
        <w:tblPrEx>
          <w:tblCellMar>
            <w:top w:w="0" w:type="dxa"/>
            <w:bottom w:w="0" w:type="dxa"/>
          </w:tblCellMar>
        </w:tblPrEx>
        <w:trPr>
          <w:trHeight w:val="337"/>
          <w:jc w:val="center"/>
        </w:trPr>
        <w:tc>
          <w:tcPr>
            <w:tcW w:w="1210" w:type="dxa"/>
            <w:tcBorders>
              <w:top w:val="nil"/>
              <w:left w:val="nil"/>
              <w:bottom w:val="nil"/>
              <w:right w:val="nil"/>
            </w:tcBorders>
          </w:tcPr>
          <w:p w14:paraId="18AE238D"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Intercept</w:t>
            </w:r>
          </w:p>
        </w:tc>
        <w:tc>
          <w:tcPr>
            <w:tcW w:w="1490" w:type="dxa"/>
            <w:tcBorders>
              <w:top w:val="nil"/>
              <w:left w:val="nil"/>
              <w:bottom w:val="nil"/>
              <w:right w:val="nil"/>
            </w:tcBorders>
          </w:tcPr>
          <w:p w14:paraId="6B968B06"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 xml:space="preserve"> -0.001338</w:t>
            </w:r>
          </w:p>
        </w:tc>
        <w:tc>
          <w:tcPr>
            <w:tcW w:w="1350" w:type="dxa"/>
            <w:tcBorders>
              <w:top w:val="nil"/>
              <w:left w:val="nil"/>
              <w:bottom w:val="nil"/>
              <w:right w:val="nil"/>
            </w:tcBorders>
          </w:tcPr>
          <w:p w14:paraId="096044DE"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0.035086</w:t>
            </w:r>
          </w:p>
        </w:tc>
        <w:tc>
          <w:tcPr>
            <w:tcW w:w="1170" w:type="dxa"/>
            <w:tcBorders>
              <w:top w:val="nil"/>
              <w:left w:val="nil"/>
              <w:bottom w:val="nil"/>
              <w:right w:val="nil"/>
            </w:tcBorders>
          </w:tcPr>
          <w:p w14:paraId="4D3EAA7A"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 xml:space="preserve"> -0.04</w:t>
            </w:r>
          </w:p>
        </w:tc>
        <w:tc>
          <w:tcPr>
            <w:tcW w:w="1300" w:type="dxa"/>
            <w:tcBorders>
              <w:top w:val="nil"/>
              <w:left w:val="nil"/>
              <w:bottom w:val="nil"/>
              <w:right w:val="nil"/>
            </w:tcBorders>
          </w:tcPr>
          <w:p w14:paraId="781EDC24"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0.9710</w:t>
            </w:r>
          </w:p>
        </w:tc>
      </w:tr>
      <w:tr w:rsidR="005A6AEC" w:rsidRPr="005A6AEC" w14:paraId="4B3A87FA" w14:textId="77777777" w:rsidTr="005A6AEC">
        <w:tblPrEx>
          <w:tblCellMar>
            <w:top w:w="0" w:type="dxa"/>
            <w:bottom w:w="0" w:type="dxa"/>
          </w:tblCellMar>
        </w:tblPrEx>
        <w:trPr>
          <w:trHeight w:val="337"/>
          <w:jc w:val="center"/>
        </w:trPr>
        <w:tc>
          <w:tcPr>
            <w:tcW w:w="1210" w:type="dxa"/>
            <w:tcBorders>
              <w:top w:val="nil"/>
              <w:left w:val="nil"/>
              <w:bottom w:val="nil"/>
              <w:right w:val="nil"/>
            </w:tcBorders>
          </w:tcPr>
          <w:p w14:paraId="64B0B3D6"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flow</w:t>
            </w:r>
          </w:p>
        </w:tc>
        <w:tc>
          <w:tcPr>
            <w:tcW w:w="1490" w:type="dxa"/>
            <w:tcBorders>
              <w:top w:val="nil"/>
              <w:left w:val="nil"/>
              <w:bottom w:val="nil"/>
              <w:right w:val="nil"/>
            </w:tcBorders>
          </w:tcPr>
          <w:p w14:paraId="69F01293"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0.0001279</w:t>
            </w:r>
          </w:p>
        </w:tc>
        <w:tc>
          <w:tcPr>
            <w:tcW w:w="1350" w:type="dxa"/>
            <w:tcBorders>
              <w:top w:val="nil"/>
              <w:left w:val="nil"/>
              <w:bottom w:val="nil"/>
              <w:right w:val="nil"/>
            </w:tcBorders>
          </w:tcPr>
          <w:p w14:paraId="3A057894"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4.748e-5</w:t>
            </w:r>
          </w:p>
        </w:tc>
        <w:tc>
          <w:tcPr>
            <w:tcW w:w="1170" w:type="dxa"/>
            <w:tcBorders>
              <w:top w:val="nil"/>
              <w:left w:val="nil"/>
              <w:bottom w:val="nil"/>
              <w:right w:val="nil"/>
            </w:tcBorders>
          </w:tcPr>
          <w:p w14:paraId="7EEFA42C"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2.69</w:t>
            </w:r>
          </w:p>
        </w:tc>
        <w:tc>
          <w:tcPr>
            <w:tcW w:w="1300" w:type="dxa"/>
            <w:tcBorders>
              <w:top w:val="nil"/>
              <w:left w:val="nil"/>
              <w:bottom w:val="nil"/>
              <w:right w:val="nil"/>
            </w:tcBorders>
          </w:tcPr>
          <w:p w14:paraId="4A7A2717" w14:textId="77777777" w:rsidR="005A6AEC" w:rsidRPr="005A6AEC" w:rsidRDefault="005A6AEC" w:rsidP="005A6AEC">
            <w:pPr>
              <w:rPr>
                <w:rFonts w:ascii="Calibri" w:eastAsia="Calibri" w:hAnsi="Calibri" w:cs="Calibri"/>
                <w:sz w:val="24"/>
                <w:szCs w:val="24"/>
                <w:lang w:val="en-US"/>
              </w:rPr>
            </w:pPr>
            <w:r w:rsidRPr="005A6AEC">
              <w:rPr>
                <w:rFonts w:ascii="Calibri" w:eastAsia="Calibri" w:hAnsi="Calibri" w:cs="Calibri"/>
                <w:sz w:val="24"/>
                <w:szCs w:val="24"/>
                <w:lang w:val="en-US"/>
              </w:rPr>
              <w:t>0.0431*</w:t>
            </w:r>
          </w:p>
        </w:tc>
      </w:tr>
    </w:tbl>
    <w:p w14:paraId="1EE88204" w14:textId="011DDAA5" w:rsidR="007B273F" w:rsidRDefault="007B273F" w:rsidP="008E033D">
      <w:pPr>
        <w:rPr>
          <w:rFonts w:ascii="Calibri" w:eastAsia="Calibri" w:hAnsi="Calibri" w:cs="Calibri"/>
          <w:sz w:val="24"/>
          <w:szCs w:val="24"/>
          <w:lang w:val="en-US"/>
        </w:rPr>
      </w:pPr>
    </w:p>
    <w:p w14:paraId="17E38AED" w14:textId="749F24F0" w:rsidR="00897DA4" w:rsidRDefault="00897DA4" w:rsidP="008E033D">
      <w:pPr>
        <w:rPr>
          <w:rFonts w:ascii="Calibri" w:eastAsia="Calibri" w:hAnsi="Calibri" w:cs="Calibri"/>
          <w:sz w:val="24"/>
          <w:szCs w:val="24"/>
        </w:rPr>
      </w:pPr>
      <w:r w:rsidRPr="00897DA4">
        <w:rPr>
          <w:rFonts w:ascii="Calibri" w:eastAsia="Calibri" w:hAnsi="Calibri" w:cs="Calibri"/>
          <w:sz w:val="24"/>
          <w:szCs w:val="24"/>
        </w:rPr>
        <w:t xml:space="preserve">INTERPRETATION: For every 100 ft^3/sec increase in flow, we expect about a 0.0128 increase in the proportion of DNFs. The p-value for testing this slope (0.0431) is less </w:t>
      </w:r>
      <w:proofErr w:type="spellStart"/>
      <w:proofErr w:type="gramStart"/>
      <w:r w:rsidRPr="00897DA4">
        <w:rPr>
          <w:rFonts w:ascii="Calibri" w:eastAsia="Calibri" w:hAnsi="Calibri" w:cs="Calibri"/>
          <w:sz w:val="24"/>
          <w:szCs w:val="24"/>
        </w:rPr>
        <w:t>that</w:t>
      </w:r>
      <w:proofErr w:type="spellEnd"/>
      <w:proofErr w:type="gramEnd"/>
      <w:r w:rsidRPr="00897DA4">
        <w:rPr>
          <w:rFonts w:ascii="Calibri" w:eastAsia="Calibri" w:hAnsi="Calibri" w:cs="Calibri"/>
          <w:sz w:val="24"/>
          <w:szCs w:val="24"/>
        </w:rPr>
        <w:t xml:space="preserve"> 0.05, so we have mildly convincing evidence that a faster flow rate is associated with a higher proportion of boats not finishing the race.</w:t>
      </w:r>
    </w:p>
    <w:p w14:paraId="3219C2E3" w14:textId="77777777" w:rsidR="00897DA4" w:rsidRDefault="00897DA4" w:rsidP="008E033D">
      <w:pPr>
        <w:rPr>
          <w:rFonts w:ascii="Calibri" w:eastAsia="Calibri" w:hAnsi="Calibri" w:cs="Calibri"/>
          <w:sz w:val="24"/>
          <w:szCs w:val="24"/>
        </w:rPr>
      </w:pPr>
    </w:p>
    <w:p w14:paraId="5C57CF07" w14:textId="77777777" w:rsidR="00897DA4" w:rsidRPr="00897DA4" w:rsidRDefault="00897DA4" w:rsidP="00897DA4">
      <w:pPr>
        <w:rPr>
          <w:rFonts w:ascii="Calibri" w:eastAsia="Calibri" w:hAnsi="Calibri" w:cs="Calibri"/>
          <w:b/>
          <w:bCs/>
          <w:sz w:val="24"/>
          <w:szCs w:val="24"/>
          <w:lang w:val="en-US"/>
        </w:rPr>
      </w:pPr>
      <w:r w:rsidRPr="00897DA4">
        <w:rPr>
          <w:rFonts w:ascii="Calibri" w:eastAsia="Calibri" w:hAnsi="Calibri" w:cs="Calibri"/>
          <w:b/>
          <w:bCs/>
          <w:sz w:val="24"/>
          <w:szCs w:val="24"/>
          <w:lang w:val="en-US"/>
        </w:rPr>
        <w:t>c) If the flow level is 1100 ft^3/sec and there are 200 competitors about how many DNFs can we expect?</w:t>
      </w:r>
    </w:p>
    <w:p w14:paraId="06C32E51" w14:textId="77777777" w:rsidR="00897DA4" w:rsidRDefault="00897DA4" w:rsidP="008E033D">
      <w:pPr>
        <w:rPr>
          <w:rFonts w:ascii="Calibri" w:eastAsia="Calibri" w:hAnsi="Calibri" w:cs="Calibri"/>
          <w:sz w:val="24"/>
          <w:szCs w:val="24"/>
          <w:lang w:val="en-US"/>
        </w:rPr>
      </w:pPr>
    </w:p>
    <w:p w14:paraId="7F20D694" w14:textId="10B9E6B2" w:rsidR="00897DA4" w:rsidRDefault="00897DA4" w:rsidP="008E033D">
      <w:pPr>
        <w:rPr>
          <w:rFonts w:ascii="Calibri" w:eastAsia="Calibri" w:hAnsi="Calibri" w:cs="Calibri"/>
          <w:sz w:val="24"/>
          <w:szCs w:val="24"/>
          <w:lang w:val="en-US"/>
        </w:rPr>
      </w:pPr>
      <w:r>
        <w:rPr>
          <w:rFonts w:ascii="Calibri" w:eastAsia="Calibri" w:hAnsi="Calibri" w:cs="Calibri"/>
          <w:sz w:val="24"/>
          <w:szCs w:val="24"/>
          <w:lang w:val="en-US"/>
        </w:rPr>
        <w:t xml:space="preserve">Using the revised prediction equation we have </w:t>
      </w:r>
    </w:p>
    <w:p w14:paraId="4DA572C1" w14:textId="0EAAD8ED" w:rsidR="00897DA4" w:rsidRDefault="00897DA4" w:rsidP="008E033D">
      <w:pPr>
        <w:rPr>
          <w:rFonts w:ascii="Calibri" w:eastAsia="Calibri" w:hAnsi="Calibri" w:cs="Calibri"/>
          <w:sz w:val="24"/>
          <w:szCs w:val="24"/>
          <w:lang w:val="en-US"/>
        </w:rPr>
      </w:pPr>
      <m:oMathPara>
        <m:oMath>
          <m:acc>
            <m:accPr>
              <m:ctrlPr>
                <w:rPr>
                  <w:rFonts w:ascii="Cambria Math" w:eastAsia="Calibri" w:hAnsi="Cambria Math" w:cs="Calibri"/>
                  <w:i/>
                  <w:sz w:val="24"/>
                  <w:szCs w:val="24"/>
                  <w:lang w:val="en-US"/>
                </w:rPr>
              </m:ctrlPr>
            </m:accPr>
            <m:e>
              <m:r>
                <w:rPr>
                  <w:rFonts w:ascii="Cambria Math" w:eastAsia="Calibri" w:hAnsi="Cambria Math" w:cs="Calibri"/>
                  <w:sz w:val="24"/>
                  <w:szCs w:val="24"/>
                  <w:lang w:val="en-US"/>
                </w:rPr>
                <m:t>Prop_DNF</m:t>
              </m:r>
            </m:e>
          </m:acc>
          <m:r>
            <w:rPr>
              <w:rFonts w:ascii="Cambria Math" w:eastAsia="Calibri" w:hAnsi="Cambria Math" w:cs="Calibri"/>
              <w:sz w:val="24"/>
              <w:szCs w:val="24"/>
              <w:lang w:val="en-US"/>
            </w:rPr>
            <m:t>=-0.001338+0.0001279</m:t>
          </m:r>
          <m:d>
            <m:dPr>
              <m:ctrlPr>
                <w:rPr>
                  <w:rFonts w:ascii="Cambria Math" w:eastAsia="Calibri" w:hAnsi="Cambria Math" w:cs="Calibri"/>
                  <w:i/>
                  <w:sz w:val="24"/>
                  <w:szCs w:val="24"/>
                  <w:lang w:val="en-US"/>
                </w:rPr>
              </m:ctrlPr>
            </m:dPr>
            <m:e>
              <m:r>
                <w:rPr>
                  <w:rFonts w:ascii="Cambria Math" w:eastAsia="Calibri" w:hAnsi="Cambria Math" w:cs="Calibri"/>
                  <w:sz w:val="24"/>
                  <w:szCs w:val="24"/>
                  <w:lang w:val="en-US"/>
                </w:rPr>
                <m:t>1100</m:t>
              </m:r>
            </m:e>
          </m:d>
          <m:r>
            <w:rPr>
              <w:rFonts w:ascii="Cambria Math" w:eastAsia="Calibri" w:hAnsi="Cambria Math" w:cs="Calibri"/>
              <w:sz w:val="24"/>
              <w:szCs w:val="24"/>
              <w:lang w:val="en-US"/>
            </w:rPr>
            <m:t>=0.139352</m:t>
          </m:r>
        </m:oMath>
      </m:oMathPara>
    </w:p>
    <w:p w14:paraId="51392589" w14:textId="3CA625CF" w:rsidR="00897DA4" w:rsidRDefault="00897DA4" w:rsidP="008E033D">
      <w:pPr>
        <w:rPr>
          <w:rFonts w:ascii="Calibri" w:eastAsia="Calibri" w:hAnsi="Calibri" w:cs="Calibri"/>
          <w:sz w:val="24"/>
          <w:szCs w:val="24"/>
          <w:lang w:val="en-US"/>
        </w:rPr>
      </w:pPr>
      <w:r>
        <w:rPr>
          <w:rFonts w:ascii="Calibri" w:eastAsia="Calibri" w:hAnsi="Calibri" w:cs="Calibri"/>
          <w:sz w:val="24"/>
          <w:szCs w:val="24"/>
          <w:lang w:val="en-US"/>
        </w:rPr>
        <w:t>and</w:t>
      </w:r>
    </w:p>
    <w:p w14:paraId="2039BA9E" w14:textId="3B5A22A5" w:rsidR="00897DA4" w:rsidRDefault="00897DA4" w:rsidP="008E033D">
      <w:pPr>
        <w:rPr>
          <w:rFonts w:ascii="Calibri" w:eastAsia="Calibri" w:hAnsi="Calibri" w:cs="Calibri"/>
          <w:sz w:val="24"/>
          <w:szCs w:val="24"/>
          <w:lang w:val="en-US"/>
        </w:rPr>
      </w:pPr>
      <m:oMathPara>
        <m:oMath>
          <m:r>
            <w:rPr>
              <w:rFonts w:ascii="Cambria Math" w:eastAsia="Calibri" w:hAnsi="Cambria Math" w:cs="Calibri"/>
              <w:sz w:val="24"/>
              <w:szCs w:val="24"/>
              <w:lang w:val="en-US"/>
            </w:rPr>
            <m:t>200*0.19352=27.87</m:t>
          </m:r>
        </m:oMath>
      </m:oMathPara>
    </w:p>
    <w:p w14:paraId="5662B2FC" w14:textId="77777777" w:rsidR="00897DA4" w:rsidRDefault="00897DA4" w:rsidP="008E033D">
      <w:pPr>
        <w:rPr>
          <w:rFonts w:ascii="Calibri" w:eastAsia="Calibri" w:hAnsi="Calibri" w:cs="Calibri"/>
          <w:sz w:val="24"/>
          <w:szCs w:val="24"/>
          <w:lang w:val="en-US"/>
        </w:rPr>
      </w:pPr>
    </w:p>
    <w:p w14:paraId="02A8451E" w14:textId="6CB896F9" w:rsidR="00897DA4" w:rsidRDefault="00897DA4" w:rsidP="008E033D">
      <w:pPr>
        <w:rPr>
          <w:rFonts w:ascii="Calibri" w:eastAsia="Calibri" w:hAnsi="Calibri" w:cs="Calibri"/>
          <w:sz w:val="24"/>
          <w:szCs w:val="24"/>
          <w:lang w:val="en-US"/>
        </w:rPr>
      </w:pPr>
      <w:r w:rsidRPr="00897DA4">
        <w:rPr>
          <w:rFonts w:ascii="Calibri" w:eastAsia="Calibri" w:hAnsi="Calibri" w:cs="Calibri"/>
          <w:sz w:val="24"/>
          <w:szCs w:val="24"/>
          <w:lang w:val="en-US"/>
        </w:rPr>
        <w:t>If flow rate is 1100 ft\^3/sec and there are 200 competitors, we can expect about 28 DNFs.</w:t>
      </w:r>
    </w:p>
    <w:sectPr w:rsidR="00897DA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3E8"/>
    <w:multiLevelType w:val="multilevel"/>
    <w:tmpl w:val="791CCC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E4B5C3E"/>
    <w:multiLevelType w:val="multilevel"/>
    <w:tmpl w:val="14123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8E2312"/>
    <w:multiLevelType w:val="hybridMultilevel"/>
    <w:tmpl w:val="803638A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C76FED"/>
    <w:multiLevelType w:val="hybridMultilevel"/>
    <w:tmpl w:val="69B26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3CA591F"/>
    <w:multiLevelType w:val="hybridMultilevel"/>
    <w:tmpl w:val="52107FC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6844908">
    <w:abstractNumId w:val="0"/>
  </w:num>
  <w:num w:numId="2" w16cid:durableId="1359967704">
    <w:abstractNumId w:val="1"/>
  </w:num>
  <w:num w:numId="3" w16cid:durableId="1033379744">
    <w:abstractNumId w:val="3"/>
  </w:num>
  <w:num w:numId="4" w16cid:durableId="50008056">
    <w:abstractNumId w:val="4"/>
  </w:num>
  <w:num w:numId="5" w16cid:durableId="1387684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1D5"/>
    <w:rsid w:val="0015512F"/>
    <w:rsid w:val="001A2A26"/>
    <w:rsid w:val="001C4A2C"/>
    <w:rsid w:val="00250CD7"/>
    <w:rsid w:val="0034649F"/>
    <w:rsid w:val="003D28A7"/>
    <w:rsid w:val="00404D85"/>
    <w:rsid w:val="00422136"/>
    <w:rsid w:val="0044184B"/>
    <w:rsid w:val="0045379B"/>
    <w:rsid w:val="004770E5"/>
    <w:rsid w:val="00522E08"/>
    <w:rsid w:val="005A6AEC"/>
    <w:rsid w:val="005F2FA8"/>
    <w:rsid w:val="00651CA8"/>
    <w:rsid w:val="007217E1"/>
    <w:rsid w:val="00730234"/>
    <w:rsid w:val="007B198D"/>
    <w:rsid w:val="007B273F"/>
    <w:rsid w:val="007C11C6"/>
    <w:rsid w:val="00897DA4"/>
    <w:rsid w:val="008D461B"/>
    <w:rsid w:val="008E033D"/>
    <w:rsid w:val="00930DDF"/>
    <w:rsid w:val="0095295B"/>
    <w:rsid w:val="009F6DDB"/>
    <w:rsid w:val="00AA61D5"/>
    <w:rsid w:val="00AB69EA"/>
    <w:rsid w:val="00C5597D"/>
    <w:rsid w:val="00C73EBE"/>
    <w:rsid w:val="00CA63DA"/>
    <w:rsid w:val="00F6621D"/>
    <w:rsid w:val="00F9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33AD"/>
  <w15:docId w15:val="{A2886D1B-7C67-4CF7-963C-3B899E4A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422136"/>
    <w:pPr>
      <w:ind w:left="720"/>
      <w:contextualSpacing/>
    </w:pPr>
  </w:style>
  <w:style w:type="table" w:styleId="TableGrid">
    <w:name w:val="Table Grid"/>
    <w:basedOn w:val="TableNormal"/>
    <w:uiPriority w:val="39"/>
    <w:rsid w:val="00AB69E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69E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St. Lawrence University</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Robin Lock</cp:lastModifiedBy>
  <cp:revision>2</cp:revision>
  <cp:lastPrinted>2026-06-03T17:45:00Z</cp:lastPrinted>
  <dcterms:created xsi:type="dcterms:W3CDTF">2026-06-03T18:08:00Z</dcterms:created>
  <dcterms:modified xsi:type="dcterms:W3CDTF">2026-06-03T18:08:00Z</dcterms:modified>
</cp:coreProperties>
</file>